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6F96" w:rsidRPr="00B912A0" w:rsidRDefault="00DA278F" w:rsidP="00275DEC">
      <w:pPr>
        <w:spacing w:after="120"/>
        <w:ind w:left="425"/>
        <w:jc w:val="center"/>
        <w:rPr>
          <w:rFonts w:ascii="Arial" w:hAnsi="Arial" w:cs="Arial"/>
          <w:b/>
          <w:sz w:val="28"/>
          <w:szCs w:val="28"/>
        </w:rPr>
      </w:pPr>
      <w:r w:rsidRPr="00B912A0">
        <w:rPr>
          <w:rFonts w:ascii="Arial" w:hAnsi="Arial" w:cs="Arial"/>
          <w:b/>
          <w:sz w:val="28"/>
          <w:szCs w:val="28"/>
        </w:rPr>
        <w:t>Tennis de table</w:t>
      </w:r>
      <w:r w:rsidR="001B0A78" w:rsidRPr="00B912A0">
        <w:rPr>
          <w:rFonts w:ascii="Arial" w:hAnsi="Arial" w:cs="Arial"/>
          <w:b/>
          <w:sz w:val="28"/>
          <w:szCs w:val="28"/>
        </w:rPr>
        <w:t> : examen ponctuel obligatoire</w:t>
      </w:r>
    </w:p>
    <w:p w:rsidR="009D0C41" w:rsidRPr="00B912A0" w:rsidRDefault="009D0C41" w:rsidP="00042178">
      <w:pPr>
        <w:spacing w:after="120"/>
        <w:ind w:left="425"/>
        <w:rPr>
          <w:rFonts w:ascii="Arial" w:eastAsia="Arial" w:hAnsi="Arial" w:cs="Arial"/>
        </w:rPr>
      </w:pPr>
    </w:p>
    <w:p w:rsidR="009D0C41" w:rsidRPr="00B912A0" w:rsidRDefault="009D0C41" w:rsidP="00042178">
      <w:pPr>
        <w:spacing w:after="120"/>
        <w:ind w:left="425"/>
        <w:rPr>
          <w:rFonts w:ascii="Arial" w:eastAsia="Arial" w:hAnsi="Arial" w:cs="Arial"/>
          <w:sz w:val="22"/>
          <w:szCs w:val="22"/>
        </w:rPr>
      </w:pPr>
    </w:p>
    <w:p w:rsidR="00042178" w:rsidRPr="00B912A0" w:rsidRDefault="00042178" w:rsidP="00042178">
      <w:pPr>
        <w:spacing w:after="120"/>
        <w:ind w:left="425"/>
        <w:rPr>
          <w:rFonts w:ascii="Arial" w:eastAsia="Arial" w:hAnsi="Arial" w:cs="Arial"/>
          <w:b/>
          <w:bCs/>
          <w:sz w:val="22"/>
          <w:szCs w:val="22"/>
        </w:rPr>
      </w:pPr>
      <w:r w:rsidRPr="00B912A0">
        <w:rPr>
          <w:rFonts w:ascii="Arial" w:eastAsia="Arial" w:hAnsi="Arial" w:cs="Arial"/>
          <w:b/>
          <w:bCs/>
          <w:sz w:val="22"/>
          <w:szCs w:val="22"/>
        </w:rPr>
        <w:t>Principe</w:t>
      </w:r>
      <w:r w:rsidR="001B0A78" w:rsidRPr="00B912A0">
        <w:rPr>
          <w:rFonts w:ascii="Arial" w:eastAsia="Arial" w:hAnsi="Arial" w:cs="Arial"/>
          <w:b/>
          <w:bCs/>
          <w:sz w:val="22"/>
          <w:szCs w:val="22"/>
        </w:rPr>
        <w:t>s</w:t>
      </w:r>
      <w:r w:rsidRPr="00B912A0">
        <w:rPr>
          <w:rFonts w:ascii="Arial" w:eastAsia="Arial" w:hAnsi="Arial" w:cs="Arial"/>
          <w:b/>
          <w:bCs/>
          <w:sz w:val="22"/>
          <w:szCs w:val="22"/>
        </w:rPr>
        <w:t xml:space="preserve"> d</w:t>
      </w:r>
      <w:r w:rsidR="001B0A78" w:rsidRPr="00B912A0">
        <w:rPr>
          <w:rFonts w:ascii="Arial" w:eastAsia="Arial" w:hAnsi="Arial" w:cs="Arial"/>
          <w:b/>
          <w:bCs/>
          <w:sz w:val="22"/>
          <w:szCs w:val="22"/>
        </w:rPr>
        <w:t>e passation</w:t>
      </w:r>
      <w:r w:rsidRPr="00B912A0">
        <w:rPr>
          <w:rFonts w:ascii="Arial" w:eastAsia="Arial" w:hAnsi="Arial" w:cs="Arial"/>
          <w:b/>
          <w:bCs/>
          <w:sz w:val="22"/>
          <w:szCs w:val="22"/>
        </w:rPr>
        <w:t xml:space="preserve"> de l’épreuve</w:t>
      </w:r>
    </w:p>
    <w:p w:rsidR="00042178" w:rsidRPr="00B912A0" w:rsidRDefault="00042178" w:rsidP="001B0A78">
      <w:pPr>
        <w:spacing w:before="120"/>
        <w:ind w:left="426" w:hanging="1"/>
        <w:jc w:val="both"/>
        <w:rPr>
          <w:rFonts w:ascii="Arial" w:eastAsia="Arial" w:hAnsi="Arial" w:cs="Arial"/>
          <w:sz w:val="22"/>
          <w:szCs w:val="22"/>
        </w:rPr>
      </w:pPr>
      <w:r w:rsidRPr="00B912A0">
        <w:rPr>
          <w:rFonts w:ascii="Arial" w:eastAsia="Arial" w:hAnsi="Arial" w:cs="Arial"/>
          <w:sz w:val="22"/>
          <w:szCs w:val="22"/>
        </w:rPr>
        <w:t xml:space="preserve">- Chaque candidat(e) dispute </w:t>
      </w:r>
      <w:r w:rsidR="00B912A0">
        <w:rPr>
          <w:rFonts w:ascii="Arial" w:eastAsia="Arial" w:hAnsi="Arial" w:cs="Arial"/>
          <w:sz w:val="22"/>
          <w:szCs w:val="22"/>
        </w:rPr>
        <w:t xml:space="preserve">au moins deux </w:t>
      </w:r>
      <w:r w:rsidRPr="00B912A0">
        <w:rPr>
          <w:rFonts w:ascii="Arial" w:eastAsia="Arial" w:hAnsi="Arial" w:cs="Arial"/>
          <w:sz w:val="22"/>
          <w:szCs w:val="22"/>
        </w:rPr>
        <w:t xml:space="preserve">matchs contre des adversaires de niveau proche dans des poules homogènes. Les matchs se disputent en deux sets de 11 points. Ils sont arbitrés par un joueur de la poule. </w:t>
      </w:r>
    </w:p>
    <w:p w:rsidR="00042178" w:rsidRPr="00B912A0" w:rsidRDefault="00042178" w:rsidP="001B0A78">
      <w:pPr>
        <w:ind w:left="426" w:hanging="1"/>
        <w:jc w:val="both"/>
        <w:rPr>
          <w:rFonts w:ascii="Arial" w:eastAsia="Arial" w:hAnsi="Arial" w:cs="Arial"/>
          <w:sz w:val="22"/>
          <w:szCs w:val="22"/>
        </w:rPr>
      </w:pPr>
      <w:r w:rsidRPr="00B912A0">
        <w:rPr>
          <w:rFonts w:ascii="Arial" w:eastAsia="Arial" w:hAnsi="Arial" w:cs="Arial"/>
          <w:sz w:val="22"/>
          <w:szCs w:val="22"/>
        </w:rPr>
        <w:t>- Les candidats disposent d’un temps d’échauffement d’au moins 15 minutes avant le début de l’épreuve et d’un temps d’échauffement de 2 minutes avant chacun des matchs de la poule.</w:t>
      </w:r>
      <w:r w:rsidR="00406BF2" w:rsidRPr="00B912A0">
        <w:rPr>
          <w:rFonts w:ascii="Arial" w:eastAsia="Arial" w:hAnsi="Arial" w:cs="Arial"/>
          <w:sz w:val="22"/>
          <w:szCs w:val="22"/>
        </w:rPr>
        <w:t xml:space="preserve"> Les candidats sont observés </w:t>
      </w:r>
      <w:r w:rsidR="00D004A5" w:rsidRPr="00B912A0">
        <w:rPr>
          <w:rFonts w:ascii="Arial" w:eastAsia="Arial" w:hAnsi="Arial" w:cs="Arial"/>
          <w:sz w:val="22"/>
          <w:szCs w:val="22"/>
        </w:rPr>
        <w:t xml:space="preserve">et évalués </w:t>
      </w:r>
      <w:r w:rsidR="00406BF2" w:rsidRPr="00B912A0">
        <w:rPr>
          <w:rFonts w:ascii="Arial" w:eastAsia="Arial" w:hAnsi="Arial" w:cs="Arial"/>
          <w:sz w:val="22"/>
          <w:szCs w:val="22"/>
        </w:rPr>
        <w:t xml:space="preserve">durant ces temps d’échauffement. </w:t>
      </w:r>
    </w:p>
    <w:p w:rsidR="00042178" w:rsidRPr="00B912A0" w:rsidRDefault="00042178" w:rsidP="001B0A78">
      <w:pPr>
        <w:ind w:left="426" w:hanging="1"/>
        <w:jc w:val="both"/>
        <w:rPr>
          <w:rFonts w:ascii="Arial" w:eastAsia="Arial" w:hAnsi="Arial" w:cs="Arial"/>
          <w:sz w:val="22"/>
          <w:szCs w:val="22"/>
        </w:rPr>
      </w:pPr>
      <w:r w:rsidRPr="00B912A0">
        <w:rPr>
          <w:rFonts w:ascii="Arial" w:eastAsia="Arial" w:hAnsi="Arial" w:cs="Arial"/>
          <w:sz w:val="22"/>
          <w:szCs w:val="22"/>
        </w:rPr>
        <w:t xml:space="preserve">- Pour chaque rencontre, un temps d’analyse est prévu entre les sets pour permettre aux élèves d’ajuster leur stratégie au contexte d’opposition. </w:t>
      </w:r>
    </w:p>
    <w:p w:rsidR="00042178" w:rsidRDefault="00042178" w:rsidP="00B912A0">
      <w:pPr>
        <w:ind w:left="425"/>
        <w:rPr>
          <w:rFonts w:ascii="Arial" w:eastAsia="Arial" w:hAnsi="Arial" w:cs="Arial"/>
          <w:sz w:val="22"/>
          <w:szCs w:val="22"/>
        </w:rPr>
      </w:pPr>
      <w:r w:rsidRPr="00B912A0">
        <w:rPr>
          <w:rFonts w:ascii="Arial" w:eastAsia="Arial" w:hAnsi="Arial" w:cs="Arial"/>
          <w:sz w:val="22"/>
          <w:szCs w:val="22"/>
        </w:rPr>
        <w:t>- P</w:t>
      </w:r>
      <w:r w:rsidRPr="00B912A0">
        <w:rPr>
          <w:rFonts w:ascii="Arial" w:hAnsi="Arial" w:cs="Arial"/>
          <w:sz w:val="22"/>
          <w:szCs w:val="22"/>
        </w:rPr>
        <w:t>our l</w:t>
      </w:r>
      <w:r w:rsidR="001B0A78" w:rsidRPr="00B912A0">
        <w:rPr>
          <w:rFonts w:ascii="Arial" w:hAnsi="Arial" w:cs="Arial"/>
          <w:sz w:val="22"/>
          <w:szCs w:val="22"/>
        </w:rPr>
        <w:t>’AFL « </w:t>
      </w:r>
      <w:r w:rsidR="001B0A78" w:rsidRPr="00B912A0">
        <w:rPr>
          <w:rFonts w:ascii="Arial" w:eastAsia="Arial" w:hAnsi="Arial" w:cs="Arial"/>
          <w:sz w:val="22"/>
          <w:szCs w:val="22"/>
        </w:rPr>
        <w:t>S’engager pour gagner une rencontre en faisant des choix techniques et tactiques pertinents au regard de l’analyse du rapport de force »</w:t>
      </w:r>
      <w:r w:rsidRPr="00B912A0">
        <w:rPr>
          <w:rFonts w:ascii="Arial" w:hAnsi="Arial" w:cs="Arial"/>
          <w:sz w:val="22"/>
          <w:szCs w:val="22"/>
        </w:rPr>
        <w:t>, l</w:t>
      </w:r>
      <w:r w:rsidRPr="00B912A0">
        <w:rPr>
          <w:rFonts w:ascii="Arial" w:eastAsia="Arial" w:hAnsi="Arial" w:cs="Arial"/>
          <w:sz w:val="22"/>
          <w:szCs w:val="22"/>
        </w:rPr>
        <w:t xml:space="preserve">es </w:t>
      </w:r>
      <w:r w:rsidRPr="00B912A0">
        <w:rPr>
          <w:rFonts w:ascii="Arial" w:hAnsi="Arial" w:cs="Arial"/>
          <w:sz w:val="22"/>
          <w:szCs w:val="22"/>
        </w:rPr>
        <w:t xml:space="preserve">évaluateurs positionnent l’élève dans un degré puis ajustent la note en fonction </w:t>
      </w:r>
      <w:r w:rsidRPr="00B912A0">
        <w:rPr>
          <w:rFonts w:ascii="Arial" w:eastAsia="Arial" w:hAnsi="Arial" w:cs="Arial"/>
          <w:sz w:val="22"/>
          <w:szCs w:val="22"/>
        </w:rPr>
        <w:t>de la proportion des oppositions gagnées</w:t>
      </w:r>
      <w:r w:rsidR="001B0A78" w:rsidRPr="00B912A0">
        <w:rPr>
          <w:rFonts w:ascii="Arial" w:eastAsia="Arial" w:hAnsi="Arial" w:cs="Arial"/>
          <w:sz w:val="22"/>
          <w:szCs w:val="22"/>
        </w:rPr>
        <w:t xml:space="preserve"> dans la poule</w:t>
      </w:r>
      <w:r w:rsidRPr="00B912A0">
        <w:rPr>
          <w:rFonts w:ascii="Arial" w:eastAsia="Arial" w:hAnsi="Arial" w:cs="Arial"/>
          <w:sz w:val="22"/>
          <w:szCs w:val="22"/>
        </w:rPr>
        <w:t>.</w:t>
      </w:r>
    </w:p>
    <w:p w:rsidR="00B912A0" w:rsidRDefault="00B912A0" w:rsidP="00B912A0">
      <w:pPr>
        <w:ind w:left="42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 L</w:t>
      </w:r>
      <w:r w:rsidRPr="00B912A0">
        <w:rPr>
          <w:rFonts w:ascii="Arial" w:hAnsi="Arial" w:cs="Arial"/>
          <w:sz w:val="22"/>
          <w:szCs w:val="22"/>
        </w:rPr>
        <w:t>’AFL « </w:t>
      </w:r>
      <w:r w:rsidRPr="00B912A0">
        <w:rPr>
          <w:rFonts w:ascii="Arial" w:eastAsia="Arial" w:hAnsi="Arial" w:cs="Arial"/>
          <w:sz w:val="22"/>
          <w:szCs w:val="22"/>
        </w:rPr>
        <w:t>S’engager pour gagner une rencontre en faisant des choix techniques et tactiques pertinents au regard de l’analyse du rapport de force »</w:t>
      </w:r>
      <w:r w:rsidRPr="00B912A0">
        <w:rPr>
          <w:rFonts w:ascii="Arial" w:hAnsi="Arial" w:cs="Arial"/>
          <w:sz w:val="22"/>
          <w:szCs w:val="22"/>
        </w:rPr>
        <w:t xml:space="preserve">, </w:t>
      </w:r>
      <w:r w:rsidR="008F5890">
        <w:rPr>
          <w:rFonts w:ascii="Arial" w:hAnsi="Arial" w:cs="Arial"/>
          <w:sz w:val="22"/>
          <w:szCs w:val="22"/>
        </w:rPr>
        <w:t>permet d’</w:t>
      </w:r>
      <w:r>
        <w:rPr>
          <w:rFonts w:ascii="Arial" w:hAnsi="Arial" w:cs="Arial"/>
          <w:sz w:val="22"/>
          <w:szCs w:val="22"/>
        </w:rPr>
        <w:t>évalue</w:t>
      </w:r>
      <w:r w:rsidR="008F5890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 le niveau technique et tactique du candidat</w:t>
      </w:r>
      <w:r w:rsidR="008F5890">
        <w:rPr>
          <w:rFonts w:ascii="Arial" w:hAnsi="Arial" w:cs="Arial"/>
          <w:sz w:val="22"/>
          <w:szCs w:val="22"/>
        </w:rPr>
        <w:t xml:space="preserve"> lors de matchs</w:t>
      </w:r>
      <w:r>
        <w:rPr>
          <w:rFonts w:ascii="Arial" w:hAnsi="Arial" w:cs="Arial"/>
          <w:sz w:val="22"/>
          <w:szCs w:val="22"/>
        </w:rPr>
        <w:t xml:space="preserve">. </w:t>
      </w:r>
    </w:p>
    <w:p w:rsidR="00B912A0" w:rsidRPr="00B912A0" w:rsidRDefault="00B912A0" w:rsidP="001B0A78">
      <w:pPr>
        <w:spacing w:after="120"/>
        <w:ind w:left="426" w:hanging="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- </w:t>
      </w:r>
      <w:r>
        <w:rPr>
          <w:rFonts w:ascii="Arial" w:eastAsia="Arial" w:hAnsi="Arial" w:cs="Arial"/>
          <w:sz w:val="22"/>
          <w:szCs w:val="22"/>
        </w:rPr>
        <w:t>L</w:t>
      </w:r>
      <w:r w:rsidRPr="00B912A0">
        <w:rPr>
          <w:rFonts w:ascii="Arial" w:hAnsi="Arial" w:cs="Arial"/>
          <w:sz w:val="22"/>
          <w:szCs w:val="22"/>
        </w:rPr>
        <w:t>’AFL « </w:t>
      </w:r>
      <w:r>
        <w:rPr>
          <w:rFonts w:ascii="Arial" w:hAnsi="Arial" w:cs="Arial"/>
          <w:sz w:val="22"/>
          <w:szCs w:val="22"/>
        </w:rPr>
        <w:t xml:space="preserve">Se préparer et s’entraîner / Assumer des rôles » </w:t>
      </w:r>
      <w:r w:rsidR="008F5890">
        <w:rPr>
          <w:rFonts w:ascii="Arial" w:hAnsi="Arial" w:cs="Arial"/>
          <w:sz w:val="22"/>
          <w:szCs w:val="22"/>
        </w:rPr>
        <w:t>permet d’</w:t>
      </w:r>
      <w:r>
        <w:rPr>
          <w:rFonts w:ascii="Arial" w:hAnsi="Arial" w:cs="Arial"/>
          <w:sz w:val="22"/>
          <w:szCs w:val="22"/>
        </w:rPr>
        <w:t>évalue</w:t>
      </w:r>
      <w:r w:rsidR="008F5890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 la capacité du candidat à s</w:t>
      </w:r>
      <w:r w:rsidR="008F5890">
        <w:rPr>
          <w:rFonts w:ascii="Arial" w:hAnsi="Arial" w:cs="Arial"/>
          <w:sz w:val="22"/>
          <w:szCs w:val="22"/>
        </w:rPr>
        <w:t>e préparer à un match par un échauffement adapté</w:t>
      </w:r>
      <w:r w:rsidR="00EB3EEC">
        <w:rPr>
          <w:rFonts w:ascii="Arial" w:hAnsi="Arial" w:cs="Arial"/>
          <w:sz w:val="22"/>
          <w:szCs w:val="22"/>
        </w:rPr>
        <w:t>,</w:t>
      </w:r>
      <w:bookmarkStart w:id="0" w:name="_GoBack"/>
      <w:bookmarkEnd w:id="0"/>
      <w:r w:rsidR="008F589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et </w:t>
      </w:r>
      <w:r w:rsidR="008F5890">
        <w:rPr>
          <w:rFonts w:ascii="Arial" w:hAnsi="Arial" w:cs="Arial"/>
          <w:sz w:val="22"/>
          <w:szCs w:val="22"/>
        </w:rPr>
        <w:t xml:space="preserve">à </w:t>
      </w:r>
      <w:r>
        <w:rPr>
          <w:rFonts w:ascii="Arial" w:hAnsi="Arial" w:cs="Arial"/>
          <w:sz w:val="22"/>
          <w:szCs w:val="22"/>
        </w:rPr>
        <w:t xml:space="preserve">arbitrer. </w:t>
      </w:r>
    </w:p>
    <w:p w:rsidR="001B0A78" w:rsidRPr="00B912A0" w:rsidRDefault="001B0A78" w:rsidP="001B0A78">
      <w:pPr>
        <w:rPr>
          <w:rFonts w:ascii="Arial" w:hAnsi="Arial" w:cs="Arial"/>
          <w:sz w:val="22"/>
          <w:szCs w:val="22"/>
        </w:rPr>
      </w:pPr>
    </w:p>
    <w:p w:rsidR="001B0A78" w:rsidRPr="00B912A0" w:rsidRDefault="001B0A78" w:rsidP="001B0A78">
      <w:pPr>
        <w:rPr>
          <w:rFonts w:ascii="Arial" w:hAnsi="Arial" w:cs="Arial"/>
        </w:rPr>
        <w:sectPr w:rsidR="001B0A78" w:rsidRPr="00B912A0" w:rsidSect="003C5EF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 w:code="9"/>
          <w:pgMar w:top="1440" w:right="1080" w:bottom="1440" w:left="1080" w:header="709" w:footer="709" w:gutter="0"/>
          <w:pgNumType w:start="1"/>
          <w:cols w:space="720"/>
          <w:docGrid w:linePitch="326"/>
        </w:sectPr>
      </w:pPr>
    </w:p>
    <w:tbl>
      <w:tblPr>
        <w:tblStyle w:val="Grilledutableau"/>
        <w:tblW w:w="15735" w:type="dxa"/>
        <w:tblInd w:w="-147" w:type="dxa"/>
        <w:tblLook w:val="04A0" w:firstRow="1" w:lastRow="0" w:firstColumn="1" w:lastColumn="0" w:noHBand="0" w:noVBand="1"/>
      </w:tblPr>
      <w:tblGrid>
        <w:gridCol w:w="2029"/>
        <w:gridCol w:w="828"/>
        <w:gridCol w:w="2407"/>
        <w:gridCol w:w="2647"/>
        <w:gridCol w:w="2522"/>
        <w:gridCol w:w="2680"/>
        <w:gridCol w:w="2622"/>
      </w:tblGrid>
      <w:tr w:rsidR="001B0A78" w:rsidRPr="00B912A0" w:rsidTr="001B0A78">
        <w:tc>
          <w:tcPr>
            <w:tcW w:w="2032" w:type="dxa"/>
            <w:vAlign w:val="center"/>
          </w:tcPr>
          <w:p w:rsidR="009D0C41" w:rsidRPr="00B912A0" w:rsidRDefault="009D0C41" w:rsidP="00F6667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912A0">
              <w:rPr>
                <w:rFonts w:ascii="Arial" w:hAnsi="Arial" w:cs="Arial"/>
                <w:b/>
                <w:sz w:val="20"/>
              </w:rPr>
              <w:lastRenderedPageBreak/>
              <w:t>AFL évalués</w:t>
            </w:r>
          </w:p>
        </w:tc>
        <w:tc>
          <w:tcPr>
            <w:tcW w:w="802" w:type="dxa"/>
            <w:vAlign w:val="center"/>
          </w:tcPr>
          <w:p w:rsidR="009D0C41" w:rsidRPr="00B912A0" w:rsidRDefault="009D0C41" w:rsidP="00F6667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912A0">
              <w:rPr>
                <w:rFonts w:ascii="Arial" w:hAnsi="Arial" w:cs="Arial"/>
                <w:b/>
                <w:sz w:val="20"/>
              </w:rPr>
              <w:t>Points</w:t>
            </w:r>
          </w:p>
        </w:tc>
        <w:tc>
          <w:tcPr>
            <w:tcW w:w="2411" w:type="dxa"/>
            <w:vAlign w:val="center"/>
          </w:tcPr>
          <w:p w:rsidR="009D0C41" w:rsidRPr="00B912A0" w:rsidRDefault="009D0C41" w:rsidP="00F6667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912A0">
              <w:rPr>
                <w:rFonts w:ascii="Arial" w:hAnsi="Arial" w:cs="Arial"/>
                <w:b/>
                <w:sz w:val="20"/>
              </w:rPr>
              <w:t>Éléments à évaluer</w:t>
            </w:r>
          </w:p>
        </w:tc>
        <w:tc>
          <w:tcPr>
            <w:tcW w:w="2652" w:type="dxa"/>
            <w:vAlign w:val="center"/>
          </w:tcPr>
          <w:p w:rsidR="009D0C41" w:rsidRPr="00B912A0" w:rsidRDefault="009D0C41" w:rsidP="00F6667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912A0">
              <w:rPr>
                <w:rFonts w:ascii="Arial" w:hAnsi="Arial" w:cs="Arial"/>
                <w:b/>
                <w:sz w:val="20"/>
              </w:rPr>
              <w:t xml:space="preserve">Degré 1 </w:t>
            </w:r>
          </w:p>
        </w:tc>
        <w:tc>
          <w:tcPr>
            <w:tcW w:w="2526" w:type="dxa"/>
            <w:vAlign w:val="center"/>
          </w:tcPr>
          <w:p w:rsidR="009D0C41" w:rsidRPr="00B912A0" w:rsidRDefault="009D0C41" w:rsidP="00F6667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912A0">
              <w:rPr>
                <w:rFonts w:ascii="Arial" w:hAnsi="Arial" w:cs="Arial"/>
                <w:b/>
                <w:sz w:val="20"/>
              </w:rPr>
              <w:t xml:space="preserve">Degré 2 </w:t>
            </w:r>
          </w:p>
        </w:tc>
        <w:tc>
          <w:tcPr>
            <w:tcW w:w="2685" w:type="dxa"/>
            <w:vAlign w:val="center"/>
          </w:tcPr>
          <w:p w:rsidR="009D0C41" w:rsidRPr="00B912A0" w:rsidRDefault="009D0C41" w:rsidP="00F6667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912A0">
              <w:rPr>
                <w:rFonts w:ascii="Arial" w:hAnsi="Arial" w:cs="Arial"/>
                <w:b/>
                <w:sz w:val="20"/>
              </w:rPr>
              <w:t xml:space="preserve">Degré 3 </w:t>
            </w:r>
          </w:p>
        </w:tc>
        <w:tc>
          <w:tcPr>
            <w:tcW w:w="2627" w:type="dxa"/>
            <w:vAlign w:val="center"/>
          </w:tcPr>
          <w:p w:rsidR="009D0C41" w:rsidRPr="00B912A0" w:rsidRDefault="009D0C41" w:rsidP="00F6667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912A0">
              <w:rPr>
                <w:rFonts w:ascii="Arial" w:hAnsi="Arial" w:cs="Arial"/>
                <w:b/>
                <w:sz w:val="20"/>
              </w:rPr>
              <w:t xml:space="preserve">Degré 4 </w:t>
            </w:r>
          </w:p>
        </w:tc>
      </w:tr>
      <w:tr w:rsidR="001B0A78" w:rsidRPr="00B912A0" w:rsidTr="001B0A78">
        <w:trPr>
          <w:trHeight w:val="1608"/>
        </w:trPr>
        <w:tc>
          <w:tcPr>
            <w:tcW w:w="2032" w:type="dxa"/>
            <w:vMerge w:val="restart"/>
            <w:vAlign w:val="center"/>
          </w:tcPr>
          <w:p w:rsidR="001B0A78" w:rsidRPr="00B912A0" w:rsidRDefault="001B0A78" w:rsidP="001B0A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12A0">
              <w:rPr>
                <w:rFonts w:ascii="Arial" w:eastAsia="Arial" w:hAnsi="Arial" w:cs="Arial"/>
              </w:rPr>
              <w:t>S’engager pour gagner une rencontre en faisant des choix techniques et tactiques pertinents au regard de l’analyse du rapport de force</w:t>
            </w:r>
          </w:p>
        </w:tc>
        <w:tc>
          <w:tcPr>
            <w:tcW w:w="802" w:type="dxa"/>
            <w:vAlign w:val="center"/>
          </w:tcPr>
          <w:p w:rsidR="001B0A78" w:rsidRPr="00B912A0" w:rsidRDefault="001B0A78" w:rsidP="001B0A7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912A0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2411" w:type="dxa"/>
            <w:vAlign w:val="center"/>
          </w:tcPr>
          <w:p w:rsidR="001B0A78" w:rsidRPr="00B912A0" w:rsidRDefault="001B0A78" w:rsidP="00B912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912A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S’engager</w:t>
            </w:r>
            <w:r w:rsidRPr="00B912A0">
              <w:rPr>
                <w:rFonts w:ascii="Arial" w:eastAsia="Arial" w:hAnsi="Arial" w:cs="Arial"/>
                <w:sz w:val="20"/>
                <w:szCs w:val="20"/>
              </w:rPr>
              <w:t xml:space="preserve"> et réaliser des actions techniques d’attaque et de défense </w:t>
            </w:r>
            <w:r w:rsidRPr="00B912A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en relation avec son projet de jeu</w:t>
            </w:r>
          </w:p>
        </w:tc>
        <w:tc>
          <w:tcPr>
            <w:tcW w:w="2652" w:type="dxa"/>
            <w:vAlign w:val="center"/>
          </w:tcPr>
          <w:p w:rsidR="001B0A78" w:rsidRPr="00B912A0" w:rsidRDefault="001B0A78" w:rsidP="001B0A78">
            <w:pPr>
              <w:spacing w:before="10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912A0">
              <w:rPr>
                <w:rFonts w:ascii="Arial" w:eastAsia="Arial" w:hAnsi="Arial" w:cs="Arial"/>
                <w:sz w:val="20"/>
                <w:szCs w:val="20"/>
              </w:rPr>
              <w:t>De nombreuses fautes en coup droit et en revers, pas de coup préférentiel efficace</w:t>
            </w:r>
          </w:p>
          <w:p w:rsidR="001B0A78" w:rsidRPr="00B912A0" w:rsidRDefault="001B0A78" w:rsidP="001B0A78">
            <w:pPr>
              <w:spacing w:before="10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912A0">
              <w:rPr>
                <w:rFonts w:ascii="Arial" w:eastAsia="Arial" w:hAnsi="Arial" w:cs="Arial"/>
                <w:sz w:val="20"/>
                <w:szCs w:val="20"/>
              </w:rPr>
              <w:t>Le service est une simple mise en jeu</w:t>
            </w:r>
          </w:p>
          <w:p w:rsidR="001B0A78" w:rsidRPr="00B912A0" w:rsidRDefault="001B0A78" w:rsidP="001B0A78">
            <w:pPr>
              <w:spacing w:before="10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912A0">
              <w:rPr>
                <w:rFonts w:ascii="Arial" w:eastAsia="Arial" w:hAnsi="Arial" w:cs="Arial"/>
                <w:sz w:val="20"/>
                <w:szCs w:val="20"/>
              </w:rPr>
              <w:t xml:space="preserve">Peu voire pas de déplacements </w:t>
            </w:r>
          </w:p>
          <w:p w:rsidR="001B0A78" w:rsidRPr="00B912A0" w:rsidRDefault="001B0A78" w:rsidP="001B0A78">
            <w:pPr>
              <w:spacing w:before="10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1B0A78" w:rsidRPr="00B912A0" w:rsidRDefault="001B0A78" w:rsidP="001B0A78">
            <w:pPr>
              <w:spacing w:before="10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1B0A78" w:rsidRPr="00B912A0" w:rsidRDefault="001B0A78" w:rsidP="001B0A78">
            <w:pPr>
              <w:spacing w:before="10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1B0A78" w:rsidRPr="00B912A0" w:rsidRDefault="001B0A78" w:rsidP="001B0A78">
            <w:pPr>
              <w:spacing w:before="10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912A0">
              <w:rPr>
                <w:rFonts w:ascii="Arial" w:eastAsia="Calibri" w:hAnsi="Arial" w:cs="Arial"/>
                <w:sz w:val="20"/>
                <w:szCs w:val="20"/>
              </w:rPr>
              <w:t>0-2 pts</w:t>
            </w:r>
          </w:p>
        </w:tc>
        <w:tc>
          <w:tcPr>
            <w:tcW w:w="2526" w:type="dxa"/>
            <w:vAlign w:val="center"/>
          </w:tcPr>
          <w:p w:rsidR="001B0A78" w:rsidRPr="00B912A0" w:rsidRDefault="001B0A78" w:rsidP="001B0A78">
            <w:pPr>
              <w:spacing w:before="10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912A0">
              <w:rPr>
                <w:rFonts w:ascii="Arial" w:eastAsia="Arial" w:hAnsi="Arial" w:cs="Arial"/>
                <w:sz w:val="20"/>
                <w:szCs w:val="20"/>
              </w:rPr>
              <w:t xml:space="preserve">Utilisation efficace d’un coup préférentiel d’attaque ou de défense, en coup droit ou en revers </w:t>
            </w:r>
          </w:p>
          <w:p w:rsidR="001B0A78" w:rsidRPr="00B912A0" w:rsidRDefault="001B0A78" w:rsidP="001B0A78">
            <w:pPr>
              <w:spacing w:before="10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912A0">
              <w:rPr>
                <w:rFonts w:ascii="Arial" w:eastAsia="Arial" w:hAnsi="Arial" w:cs="Arial"/>
                <w:sz w:val="20"/>
                <w:szCs w:val="20"/>
              </w:rPr>
              <w:t xml:space="preserve">Le service neutralise l’attaque adverse </w:t>
            </w:r>
          </w:p>
          <w:p w:rsidR="001B0A78" w:rsidRPr="00B912A0" w:rsidRDefault="001B0A78" w:rsidP="001B0A78">
            <w:pPr>
              <w:spacing w:before="10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912A0">
              <w:rPr>
                <w:rFonts w:ascii="Arial" w:eastAsia="Arial" w:hAnsi="Arial" w:cs="Arial"/>
                <w:sz w:val="20"/>
                <w:szCs w:val="20"/>
              </w:rPr>
              <w:t>Déplacements réactifs et en retard</w:t>
            </w:r>
          </w:p>
          <w:p w:rsidR="001B0A78" w:rsidRPr="00B912A0" w:rsidRDefault="001B0A78" w:rsidP="001B0A78">
            <w:pPr>
              <w:spacing w:before="10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1B0A78" w:rsidRPr="00B912A0" w:rsidRDefault="001B0A78" w:rsidP="001B0A78">
            <w:pPr>
              <w:spacing w:before="10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1B0A78" w:rsidRPr="00B912A0" w:rsidRDefault="001B0A78" w:rsidP="001B0A78">
            <w:pPr>
              <w:spacing w:before="10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912A0">
              <w:rPr>
                <w:rFonts w:ascii="Arial" w:eastAsia="Calibri" w:hAnsi="Arial" w:cs="Arial"/>
                <w:sz w:val="20"/>
                <w:szCs w:val="20"/>
              </w:rPr>
              <w:t>2,5-4 pts</w:t>
            </w:r>
          </w:p>
        </w:tc>
        <w:tc>
          <w:tcPr>
            <w:tcW w:w="2685" w:type="dxa"/>
            <w:vAlign w:val="center"/>
          </w:tcPr>
          <w:p w:rsidR="001B0A78" w:rsidRPr="00B912A0" w:rsidRDefault="001B0A78" w:rsidP="001B0A78">
            <w:pPr>
              <w:spacing w:before="10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912A0">
              <w:rPr>
                <w:rFonts w:ascii="Arial" w:eastAsia="Arial" w:hAnsi="Arial" w:cs="Arial"/>
                <w:sz w:val="20"/>
                <w:szCs w:val="20"/>
              </w:rPr>
              <w:t>Organisation des coups techniques dans un système de jeu préférentiel d’attaque (smashs, effets liftés, services rapides) ou de défense (bloc, effet coupé, défense haute)</w:t>
            </w:r>
          </w:p>
          <w:p w:rsidR="001B0A78" w:rsidRPr="00B912A0" w:rsidRDefault="001B0A78" w:rsidP="001B0A78">
            <w:pPr>
              <w:spacing w:before="10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912A0">
              <w:rPr>
                <w:rFonts w:ascii="Arial" w:eastAsia="Arial" w:hAnsi="Arial" w:cs="Arial"/>
                <w:sz w:val="20"/>
                <w:szCs w:val="20"/>
              </w:rPr>
              <w:t>Variété des services utilisés (différents placements, vitesses ou effets)</w:t>
            </w:r>
          </w:p>
          <w:p w:rsidR="001B0A78" w:rsidRPr="00B912A0" w:rsidRDefault="001B0A78" w:rsidP="001B0A78">
            <w:pPr>
              <w:spacing w:before="10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912A0">
              <w:rPr>
                <w:rFonts w:ascii="Arial" w:eastAsia="Arial" w:hAnsi="Arial" w:cs="Arial"/>
                <w:sz w:val="20"/>
                <w:szCs w:val="20"/>
              </w:rPr>
              <w:t>Déplacements adaptés à la trajectoire de balle reçue</w:t>
            </w:r>
          </w:p>
          <w:p w:rsidR="001B0A78" w:rsidRPr="00B912A0" w:rsidRDefault="001B0A78" w:rsidP="001B0A78">
            <w:pPr>
              <w:spacing w:before="10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912A0">
              <w:rPr>
                <w:rFonts w:ascii="Arial" w:eastAsia="Calibri" w:hAnsi="Arial" w:cs="Arial"/>
                <w:sz w:val="20"/>
                <w:szCs w:val="20"/>
              </w:rPr>
              <w:t>4,5-6 pts</w:t>
            </w:r>
          </w:p>
        </w:tc>
        <w:tc>
          <w:tcPr>
            <w:tcW w:w="2627" w:type="dxa"/>
            <w:vAlign w:val="center"/>
          </w:tcPr>
          <w:p w:rsidR="001B0A78" w:rsidRPr="00B912A0" w:rsidRDefault="001B0A78" w:rsidP="001B0A78">
            <w:pPr>
              <w:spacing w:before="10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912A0">
              <w:rPr>
                <w:rFonts w:ascii="Arial" w:eastAsia="Arial" w:hAnsi="Arial" w:cs="Arial"/>
                <w:sz w:val="20"/>
                <w:szCs w:val="20"/>
              </w:rPr>
              <w:t>Efficacité technique et tactique en attaque et en défense grâce à la maîtrise d’un large panel de coups (smashs, blocs, effets coupés et lifté)</w:t>
            </w:r>
          </w:p>
          <w:p w:rsidR="001B0A78" w:rsidRPr="00B912A0" w:rsidRDefault="001B0A78" w:rsidP="001B0A78">
            <w:pPr>
              <w:spacing w:before="10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912A0">
              <w:rPr>
                <w:rFonts w:ascii="Arial" w:eastAsia="Arial" w:hAnsi="Arial" w:cs="Arial"/>
                <w:sz w:val="20"/>
                <w:szCs w:val="20"/>
              </w:rPr>
              <w:t>Le service permet de créer des occasions de marque (schémas tactiques à partir du service)</w:t>
            </w:r>
          </w:p>
          <w:p w:rsidR="001B0A78" w:rsidRPr="00B912A0" w:rsidRDefault="001B0A78" w:rsidP="001B0A78">
            <w:pPr>
              <w:spacing w:before="10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912A0">
              <w:rPr>
                <w:rFonts w:ascii="Arial" w:eastAsia="Arial" w:hAnsi="Arial" w:cs="Arial"/>
                <w:sz w:val="20"/>
                <w:szCs w:val="20"/>
              </w:rPr>
              <w:t>Déplacements variés et replacements</w:t>
            </w:r>
          </w:p>
          <w:p w:rsidR="001B0A78" w:rsidRPr="00B912A0" w:rsidRDefault="001B0A78" w:rsidP="001B0A78">
            <w:pPr>
              <w:spacing w:before="10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912A0">
              <w:rPr>
                <w:rFonts w:ascii="Arial" w:eastAsia="Calibri" w:hAnsi="Arial" w:cs="Arial"/>
                <w:sz w:val="20"/>
                <w:szCs w:val="20"/>
              </w:rPr>
              <w:t>6,5-8 pts</w:t>
            </w:r>
          </w:p>
        </w:tc>
      </w:tr>
      <w:tr w:rsidR="001B0A78" w:rsidRPr="00B912A0" w:rsidTr="001B0A78">
        <w:tc>
          <w:tcPr>
            <w:tcW w:w="2032" w:type="dxa"/>
            <w:vMerge/>
            <w:vAlign w:val="center"/>
          </w:tcPr>
          <w:p w:rsidR="001B0A78" w:rsidRPr="00B912A0" w:rsidRDefault="001B0A78" w:rsidP="001B0A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2" w:type="dxa"/>
            <w:vAlign w:val="center"/>
          </w:tcPr>
          <w:p w:rsidR="001B0A78" w:rsidRPr="00B912A0" w:rsidRDefault="001B0A78" w:rsidP="001B0A7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912A0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2411" w:type="dxa"/>
            <w:vAlign w:val="center"/>
          </w:tcPr>
          <w:p w:rsidR="001B0A78" w:rsidRPr="00B912A0" w:rsidRDefault="001B0A78" w:rsidP="001B0A7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912A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Faire des choix</w:t>
            </w:r>
            <w:r w:rsidRPr="00B912A0">
              <w:rPr>
                <w:rFonts w:ascii="Arial" w:eastAsia="Arial" w:hAnsi="Arial" w:cs="Arial"/>
                <w:sz w:val="20"/>
                <w:szCs w:val="20"/>
              </w:rPr>
              <w:t xml:space="preserve"> au regard de l’analyse du rapport de force</w:t>
            </w:r>
          </w:p>
        </w:tc>
        <w:tc>
          <w:tcPr>
            <w:tcW w:w="2652" w:type="dxa"/>
            <w:vAlign w:val="center"/>
          </w:tcPr>
          <w:p w:rsidR="001B0A78" w:rsidRPr="00B912A0" w:rsidRDefault="001B0A78" w:rsidP="001B0A78">
            <w:pPr>
              <w:spacing w:before="10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912A0">
              <w:rPr>
                <w:rFonts w:ascii="Arial" w:eastAsia="Arial" w:hAnsi="Arial" w:cs="Arial"/>
                <w:sz w:val="20"/>
                <w:szCs w:val="20"/>
              </w:rPr>
              <w:t>Le projet de jeu du candidat ne permet ni d’exploiter un coup fort, ni de d’exploiter une faiblesse de son adversaire, ni de contrer un coup fort de l’adversaire</w:t>
            </w:r>
          </w:p>
          <w:p w:rsidR="001B0A78" w:rsidRPr="00B912A0" w:rsidRDefault="001B0A78" w:rsidP="001B0A78">
            <w:pPr>
              <w:spacing w:before="10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1B0A78" w:rsidRPr="00B912A0" w:rsidRDefault="001B0A78" w:rsidP="001B0A78">
            <w:pPr>
              <w:spacing w:before="10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912A0">
              <w:rPr>
                <w:rFonts w:ascii="Arial" w:eastAsia="Calibri" w:hAnsi="Arial" w:cs="Arial"/>
                <w:sz w:val="20"/>
                <w:szCs w:val="20"/>
              </w:rPr>
              <w:t>0-1,5 pts</w:t>
            </w:r>
            <w:r w:rsidRPr="00B912A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26" w:type="dxa"/>
            <w:vAlign w:val="center"/>
          </w:tcPr>
          <w:p w:rsidR="001B0A78" w:rsidRPr="00B912A0" w:rsidRDefault="001B0A78" w:rsidP="001B0A78">
            <w:pPr>
              <w:spacing w:before="10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912A0">
              <w:rPr>
                <w:rFonts w:ascii="Arial" w:eastAsia="Arial" w:hAnsi="Arial" w:cs="Arial"/>
                <w:sz w:val="20"/>
                <w:szCs w:val="20"/>
              </w:rPr>
              <w:t xml:space="preserve">Le candidat </w:t>
            </w:r>
            <w:r w:rsidR="0014225B" w:rsidRPr="00B912A0">
              <w:rPr>
                <w:rFonts w:ascii="Arial" w:eastAsia="Arial" w:hAnsi="Arial" w:cs="Arial"/>
                <w:sz w:val="20"/>
                <w:szCs w:val="20"/>
              </w:rPr>
              <w:t>adopte</w:t>
            </w:r>
            <w:r w:rsidRPr="00B912A0">
              <w:rPr>
                <w:rFonts w:ascii="Arial" w:eastAsia="Arial" w:hAnsi="Arial" w:cs="Arial"/>
                <w:sz w:val="20"/>
                <w:szCs w:val="20"/>
              </w:rPr>
              <w:t xml:space="preserve"> un projet de jeu permettant soit d’exploiter un coup fort, soit d’exploiter une faiblesse de l’adversaire, soit de contrer un coup fort de l’adversaire</w:t>
            </w:r>
          </w:p>
          <w:p w:rsidR="001B0A78" w:rsidRPr="00B912A0" w:rsidRDefault="001B0A78" w:rsidP="001B0A78">
            <w:pPr>
              <w:spacing w:before="10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912A0">
              <w:rPr>
                <w:rFonts w:ascii="Arial" w:eastAsia="Calibri" w:hAnsi="Arial" w:cs="Arial"/>
                <w:sz w:val="20"/>
                <w:szCs w:val="20"/>
              </w:rPr>
              <w:t>2-3 pts</w:t>
            </w:r>
          </w:p>
        </w:tc>
        <w:tc>
          <w:tcPr>
            <w:tcW w:w="2685" w:type="dxa"/>
            <w:vAlign w:val="center"/>
          </w:tcPr>
          <w:p w:rsidR="001B0A78" w:rsidRPr="00B912A0" w:rsidRDefault="001B0A78" w:rsidP="001B0A78">
            <w:pPr>
              <w:spacing w:before="10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912A0">
              <w:rPr>
                <w:rFonts w:ascii="Arial" w:eastAsia="Arial" w:hAnsi="Arial" w:cs="Arial"/>
                <w:sz w:val="20"/>
                <w:szCs w:val="20"/>
              </w:rPr>
              <w:t xml:space="preserve">Le candidat </w:t>
            </w:r>
            <w:r w:rsidR="0014225B" w:rsidRPr="00B912A0">
              <w:rPr>
                <w:rFonts w:ascii="Arial" w:eastAsia="Arial" w:hAnsi="Arial" w:cs="Arial"/>
                <w:sz w:val="20"/>
                <w:szCs w:val="20"/>
              </w:rPr>
              <w:t>adopte</w:t>
            </w:r>
            <w:r w:rsidRPr="00B912A0">
              <w:rPr>
                <w:rFonts w:ascii="Arial" w:eastAsia="Arial" w:hAnsi="Arial" w:cs="Arial"/>
                <w:sz w:val="20"/>
                <w:szCs w:val="20"/>
              </w:rPr>
              <w:t xml:space="preserve"> un projet de jeu combinant deux éléments parmi : exploiter ses propres coups forts, exploiter les faiblesses de l’adversaires, contrer les coups forts de l’adversaire</w:t>
            </w:r>
          </w:p>
          <w:p w:rsidR="001B0A78" w:rsidRPr="00B912A0" w:rsidRDefault="001B0A78" w:rsidP="001B0A78">
            <w:pPr>
              <w:spacing w:before="10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912A0">
              <w:rPr>
                <w:rFonts w:ascii="Arial" w:eastAsia="Calibri" w:hAnsi="Arial" w:cs="Arial"/>
                <w:sz w:val="20"/>
                <w:szCs w:val="20"/>
              </w:rPr>
              <w:t>3,5-4,5 pts</w:t>
            </w:r>
          </w:p>
        </w:tc>
        <w:tc>
          <w:tcPr>
            <w:tcW w:w="2627" w:type="dxa"/>
            <w:vAlign w:val="center"/>
          </w:tcPr>
          <w:p w:rsidR="001B0A78" w:rsidRPr="00B912A0" w:rsidRDefault="001B0A78" w:rsidP="001B0A78">
            <w:pPr>
              <w:spacing w:before="10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912A0">
              <w:rPr>
                <w:rFonts w:ascii="Arial" w:eastAsia="Arial" w:hAnsi="Arial" w:cs="Arial"/>
                <w:sz w:val="20"/>
                <w:szCs w:val="20"/>
              </w:rPr>
              <w:t xml:space="preserve">Le candidat </w:t>
            </w:r>
            <w:r w:rsidR="0014225B" w:rsidRPr="00B912A0">
              <w:rPr>
                <w:rFonts w:ascii="Arial" w:eastAsia="Arial" w:hAnsi="Arial" w:cs="Arial"/>
                <w:sz w:val="20"/>
                <w:szCs w:val="20"/>
              </w:rPr>
              <w:t>adopte</w:t>
            </w:r>
            <w:r w:rsidRPr="00B912A0">
              <w:rPr>
                <w:rFonts w:ascii="Arial" w:eastAsia="Arial" w:hAnsi="Arial" w:cs="Arial"/>
                <w:sz w:val="20"/>
                <w:szCs w:val="20"/>
              </w:rPr>
              <w:t xml:space="preserve"> un projet de jeu combinant deux éléments </w:t>
            </w:r>
          </w:p>
          <w:p w:rsidR="001B0A78" w:rsidRPr="00B912A0" w:rsidRDefault="001B0A78" w:rsidP="001B0A78">
            <w:pPr>
              <w:spacing w:before="10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912A0">
              <w:rPr>
                <w:rFonts w:ascii="Arial" w:eastAsia="Arial" w:hAnsi="Arial" w:cs="Arial"/>
                <w:sz w:val="20"/>
                <w:szCs w:val="20"/>
              </w:rPr>
              <w:t>Il adapte son projet de jeu au cours même du set en fonction de l’évolution du rapport d’opposition</w:t>
            </w:r>
          </w:p>
          <w:p w:rsidR="001B0A78" w:rsidRPr="00B912A0" w:rsidRDefault="001B0A78" w:rsidP="001B0A78">
            <w:pPr>
              <w:spacing w:before="10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912A0">
              <w:rPr>
                <w:rFonts w:ascii="Arial" w:eastAsia="Calibri" w:hAnsi="Arial" w:cs="Arial"/>
                <w:sz w:val="20"/>
                <w:szCs w:val="20"/>
              </w:rPr>
              <w:t>5-6 pts</w:t>
            </w:r>
          </w:p>
        </w:tc>
      </w:tr>
      <w:tr w:rsidR="001B0A78" w:rsidRPr="00B912A0" w:rsidTr="001B0A78">
        <w:tc>
          <w:tcPr>
            <w:tcW w:w="2032" w:type="dxa"/>
            <w:vAlign w:val="center"/>
          </w:tcPr>
          <w:p w:rsidR="001B0A78" w:rsidRPr="00B912A0" w:rsidRDefault="001B0A78" w:rsidP="001B0A78">
            <w:pPr>
              <w:jc w:val="center"/>
              <w:rPr>
                <w:rFonts w:ascii="Arial" w:eastAsia="Arial" w:hAnsi="Arial" w:cs="Arial"/>
              </w:rPr>
            </w:pPr>
            <w:r w:rsidRPr="00B912A0">
              <w:rPr>
                <w:rFonts w:ascii="Arial" w:eastAsia="Arial" w:hAnsi="Arial" w:cs="Arial"/>
              </w:rPr>
              <w:t>Se préparer et s’entraîner</w:t>
            </w:r>
          </w:p>
          <w:p w:rsidR="001B0A78" w:rsidRPr="00B912A0" w:rsidRDefault="001B0A78" w:rsidP="001B0A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12A0">
              <w:rPr>
                <w:rFonts w:ascii="Arial" w:hAnsi="Arial" w:cs="Arial"/>
              </w:rPr>
              <w:t>Assumer des rôles</w:t>
            </w:r>
          </w:p>
        </w:tc>
        <w:tc>
          <w:tcPr>
            <w:tcW w:w="802" w:type="dxa"/>
            <w:vAlign w:val="center"/>
          </w:tcPr>
          <w:p w:rsidR="001B0A78" w:rsidRPr="00B912A0" w:rsidRDefault="001B0A78" w:rsidP="001B0A7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912A0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2411" w:type="dxa"/>
            <w:vAlign w:val="center"/>
          </w:tcPr>
          <w:p w:rsidR="001B0A78" w:rsidRPr="00B912A0" w:rsidRDefault="001B0A78" w:rsidP="001B0A78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912A0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Échauffement </w:t>
            </w:r>
          </w:p>
          <w:p w:rsidR="00D004A5" w:rsidRPr="00B912A0" w:rsidRDefault="00D004A5" w:rsidP="001B0A7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1B0A78" w:rsidRPr="00B912A0" w:rsidRDefault="001B0A78" w:rsidP="001B0A7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912A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Arbitrage</w:t>
            </w:r>
          </w:p>
        </w:tc>
        <w:tc>
          <w:tcPr>
            <w:tcW w:w="2652" w:type="dxa"/>
            <w:vAlign w:val="center"/>
          </w:tcPr>
          <w:p w:rsidR="001B0A78" w:rsidRPr="00B912A0" w:rsidRDefault="001B0A78" w:rsidP="001B0A78">
            <w:pPr>
              <w:spacing w:before="10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912A0">
              <w:rPr>
                <w:rFonts w:ascii="Arial" w:eastAsia="Arial" w:hAnsi="Arial" w:cs="Arial"/>
                <w:sz w:val="20"/>
                <w:szCs w:val="20"/>
              </w:rPr>
              <w:t xml:space="preserve">Le candidat s’échauffe avec peu de sérieux </w:t>
            </w:r>
          </w:p>
          <w:p w:rsidR="001B0A78" w:rsidRPr="00B912A0" w:rsidRDefault="001B0A78" w:rsidP="001B0A78">
            <w:pPr>
              <w:spacing w:before="10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1B0A78" w:rsidRPr="00B912A0" w:rsidRDefault="001B0A78" w:rsidP="001B0A78">
            <w:pPr>
              <w:spacing w:before="10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912A0">
              <w:rPr>
                <w:rFonts w:ascii="Arial" w:eastAsia="Arial" w:hAnsi="Arial" w:cs="Arial"/>
                <w:sz w:val="20"/>
                <w:szCs w:val="20"/>
              </w:rPr>
              <w:t>Il est peu attentif et fait des erreurs dans le suivi du score</w:t>
            </w:r>
          </w:p>
          <w:p w:rsidR="001B0A78" w:rsidRPr="00B912A0" w:rsidRDefault="001B0A78" w:rsidP="001B0A78">
            <w:pPr>
              <w:spacing w:before="10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1B0A78" w:rsidRPr="00B912A0" w:rsidRDefault="001B0A78" w:rsidP="001B0A78">
            <w:pPr>
              <w:spacing w:before="10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1B0A78" w:rsidRPr="00B912A0" w:rsidRDefault="001B0A78" w:rsidP="001B0A78">
            <w:pPr>
              <w:spacing w:before="10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912A0">
              <w:rPr>
                <w:rFonts w:ascii="Arial" w:eastAsia="Arial" w:hAnsi="Arial" w:cs="Arial"/>
                <w:sz w:val="20"/>
                <w:szCs w:val="20"/>
              </w:rPr>
              <w:t>0-1,5 pts</w:t>
            </w:r>
          </w:p>
        </w:tc>
        <w:tc>
          <w:tcPr>
            <w:tcW w:w="2526" w:type="dxa"/>
            <w:vAlign w:val="center"/>
          </w:tcPr>
          <w:p w:rsidR="001B0A78" w:rsidRPr="00B912A0" w:rsidRDefault="001B0A78" w:rsidP="001B0A78">
            <w:pPr>
              <w:spacing w:before="10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912A0">
              <w:rPr>
                <w:rFonts w:ascii="Arial" w:eastAsia="Arial" w:hAnsi="Arial" w:cs="Arial"/>
                <w:sz w:val="20"/>
                <w:szCs w:val="20"/>
              </w:rPr>
              <w:t xml:space="preserve">Le candidat s’échauffe avec sérieux en réalisant les exercices proposés par son adversaire </w:t>
            </w:r>
          </w:p>
          <w:p w:rsidR="001B0A78" w:rsidRPr="00B912A0" w:rsidRDefault="001B0A78" w:rsidP="001B0A78">
            <w:pPr>
              <w:spacing w:before="10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912A0">
              <w:rPr>
                <w:rFonts w:ascii="Arial" w:eastAsia="Arial" w:hAnsi="Arial" w:cs="Arial"/>
                <w:sz w:val="20"/>
                <w:szCs w:val="20"/>
              </w:rPr>
              <w:t>Il arbitre avec sérieux mais présente quelques hésitations (changement de service par exemple)</w:t>
            </w:r>
          </w:p>
          <w:p w:rsidR="001B0A78" w:rsidRPr="00B912A0" w:rsidRDefault="001B0A78" w:rsidP="001B0A78">
            <w:pPr>
              <w:spacing w:before="10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912A0">
              <w:rPr>
                <w:rFonts w:ascii="Arial" w:eastAsia="Arial" w:hAnsi="Arial" w:cs="Arial"/>
                <w:sz w:val="20"/>
                <w:szCs w:val="20"/>
              </w:rPr>
              <w:t>2-3 pts</w:t>
            </w:r>
          </w:p>
        </w:tc>
        <w:tc>
          <w:tcPr>
            <w:tcW w:w="2685" w:type="dxa"/>
            <w:vAlign w:val="center"/>
          </w:tcPr>
          <w:p w:rsidR="001B0A78" w:rsidRPr="00B912A0" w:rsidRDefault="001B0A78" w:rsidP="001B0A78">
            <w:pPr>
              <w:spacing w:before="10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912A0">
              <w:rPr>
                <w:rFonts w:ascii="Arial" w:eastAsia="Arial" w:hAnsi="Arial" w:cs="Arial"/>
                <w:sz w:val="20"/>
                <w:szCs w:val="20"/>
              </w:rPr>
              <w:t>Le candidat s’échauffe avec sérieux en proposant d</w:t>
            </w:r>
            <w:r w:rsidR="003C5EFA" w:rsidRPr="00B912A0">
              <w:rPr>
                <w:rFonts w:ascii="Arial" w:eastAsia="Arial" w:hAnsi="Arial" w:cs="Arial"/>
                <w:sz w:val="20"/>
                <w:szCs w:val="20"/>
              </w:rPr>
              <w:t>iver</w:t>
            </w:r>
            <w:r w:rsidRPr="00B912A0">
              <w:rPr>
                <w:rFonts w:ascii="Arial" w:eastAsia="Arial" w:hAnsi="Arial" w:cs="Arial"/>
                <w:sz w:val="20"/>
                <w:szCs w:val="20"/>
              </w:rPr>
              <w:t>s exercices à son adversaire</w:t>
            </w:r>
          </w:p>
          <w:p w:rsidR="001B0A78" w:rsidRPr="00B912A0" w:rsidRDefault="001B0A78" w:rsidP="001B0A78">
            <w:pPr>
              <w:spacing w:before="10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1B0A78" w:rsidRPr="00B912A0" w:rsidRDefault="001B0A78" w:rsidP="001B0A78">
            <w:pPr>
              <w:spacing w:before="10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912A0">
              <w:rPr>
                <w:rFonts w:ascii="Arial" w:eastAsia="Arial" w:hAnsi="Arial" w:cs="Arial"/>
                <w:sz w:val="20"/>
                <w:szCs w:val="20"/>
              </w:rPr>
              <w:t>Il arbitre sans erreur et sans hésitation</w:t>
            </w:r>
          </w:p>
          <w:p w:rsidR="001B0A78" w:rsidRPr="00B912A0" w:rsidRDefault="001B0A78" w:rsidP="001B0A78">
            <w:pPr>
              <w:spacing w:before="10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1B0A78" w:rsidRPr="00B912A0" w:rsidRDefault="001B0A78" w:rsidP="001B0A78">
            <w:pPr>
              <w:spacing w:before="10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912A0">
              <w:rPr>
                <w:rFonts w:ascii="Arial" w:eastAsia="Arial" w:hAnsi="Arial" w:cs="Arial"/>
                <w:sz w:val="20"/>
                <w:szCs w:val="20"/>
              </w:rPr>
              <w:t>3,5-4 pts</w:t>
            </w:r>
          </w:p>
        </w:tc>
        <w:tc>
          <w:tcPr>
            <w:tcW w:w="2627" w:type="dxa"/>
            <w:vAlign w:val="center"/>
          </w:tcPr>
          <w:p w:rsidR="001B0A78" w:rsidRPr="00B912A0" w:rsidRDefault="001B0A78" w:rsidP="001B0A78">
            <w:pPr>
              <w:spacing w:before="10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912A0">
              <w:rPr>
                <w:rFonts w:ascii="Arial" w:eastAsia="Arial" w:hAnsi="Arial" w:cs="Arial"/>
                <w:sz w:val="20"/>
                <w:szCs w:val="20"/>
              </w:rPr>
              <w:t>Le candidat s’échauffe avec sérieux et pertinence (gammes pour l’ensemble des coups techniques maîtrisés)</w:t>
            </w:r>
          </w:p>
          <w:p w:rsidR="001B0A78" w:rsidRPr="00B912A0" w:rsidRDefault="001B0A78" w:rsidP="001B0A78">
            <w:pPr>
              <w:spacing w:before="10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912A0">
              <w:rPr>
                <w:rFonts w:ascii="Arial" w:eastAsia="Arial" w:hAnsi="Arial" w:cs="Arial"/>
                <w:sz w:val="20"/>
                <w:szCs w:val="20"/>
              </w:rPr>
              <w:t>Il arbitre sans erreur et fait respecter le règlement (en rappelant au besoin les règles)</w:t>
            </w:r>
          </w:p>
          <w:p w:rsidR="001B0A78" w:rsidRPr="00B912A0" w:rsidRDefault="001B0A78" w:rsidP="001B0A78">
            <w:pPr>
              <w:spacing w:before="10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912A0">
              <w:rPr>
                <w:rFonts w:ascii="Arial" w:eastAsia="Arial" w:hAnsi="Arial" w:cs="Arial"/>
                <w:sz w:val="20"/>
                <w:szCs w:val="20"/>
              </w:rPr>
              <w:t>5-6 pts</w:t>
            </w:r>
          </w:p>
        </w:tc>
      </w:tr>
    </w:tbl>
    <w:p w:rsidR="009D0C41" w:rsidRPr="00B912A0" w:rsidRDefault="009D0C41" w:rsidP="001B0A78">
      <w:pPr>
        <w:rPr>
          <w:rFonts w:ascii="Arial" w:hAnsi="Arial" w:cs="Arial"/>
          <w:b/>
        </w:rPr>
      </w:pPr>
    </w:p>
    <w:sectPr w:rsidR="009D0C41" w:rsidRPr="00B912A0" w:rsidSect="003C5EFA">
      <w:pgSz w:w="16838" w:h="11906" w:orient="landscape" w:code="9"/>
      <w:pgMar w:top="567" w:right="1077" w:bottom="567" w:left="794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3215" w:rsidRDefault="00403215">
      <w:r>
        <w:separator/>
      </w:r>
    </w:p>
  </w:endnote>
  <w:endnote w:type="continuationSeparator" w:id="0">
    <w:p w:rsidR="00403215" w:rsidRDefault="00403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B53" w:rsidRDefault="00421B5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B53" w:rsidRDefault="00421B5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</w:p>
  <w:p w:rsidR="00421B53" w:rsidRDefault="00421B5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B53" w:rsidRDefault="00421B5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3215" w:rsidRDefault="00403215">
      <w:r>
        <w:separator/>
      </w:r>
    </w:p>
  </w:footnote>
  <w:footnote w:type="continuationSeparator" w:id="0">
    <w:p w:rsidR="00403215" w:rsidRDefault="004032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B53" w:rsidRDefault="00421B5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B53" w:rsidRDefault="00421B5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highlight w:val="yellow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B53" w:rsidRDefault="00421B5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91F78"/>
    <w:multiLevelType w:val="hybridMultilevel"/>
    <w:tmpl w:val="6274603E"/>
    <w:lvl w:ilvl="0" w:tplc="D466FF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55232"/>
    <w:multiLevelType w:val="hybridMultilevel"/>
    <w:tmpl w:val="F32C74A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90650D"/>
    <w:multiLevelType w:val="hybridMultilevel"/>
    <w:tmpl w:val="62FE1700"/>
    <w:lvl w:ilvl="0" w:tplc="3EB401B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AA1383"/>
    <w:multiLevelType w:val="hybridMultilevel"/>
    <w:tmpl w:val="09E61D2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4431431"/>
    <w:multiLevelType w:val="hybridMultilevel"/>
    <w:tmpl w:val="A2E603EC"/>
    <w:lvl w:ilvl="0" w:tplc="3BA8E43E">
      <w:start w:val="1"/>
      <w:numFmt w:val="decimal"/>
      <w:lvlText w:val="(%1)"/>
      <w:lvlJc w:val="left"/>
      <w:pPr>
        <w:ind w:left="720" w:hanging="360"/>
      </w:pPr>
      <w:rPr>
        <w:rFonts w:eastAsia="Arial" w:hint="default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4352D"/>
    <w:multiLevelType w:val="hybridMultilevel"/>
    <w:tmpl w:val="4B2A12C4"/>
    <w:lvl w:ilvl="0" w:tplc="01CE76D6">
      <w:numFmt w:val="bullet"/>
      <w:lvlText w:val="-"/>
      <w:lvlJc w:val="left"/>
      <w:pPr>
        <w:ind w:left="786" w:hanging="360"/>
      </w:pPr>
      <w:rPr>
        <w:rFonts w:ascii="Calibri" w:eastAsia="Arial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556F500D"/>
    <w:multiLevelType w:val="hybridMultilevel"/>
    <w:tmpl w:val="4308E2F8"/>
    <w:lvl w:ilvl="0" w:tplc="AAB689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CD3692"/>
    <w:multiLevelType w:val="hybridMultilevel"/>
    <w:tmpl w:val="664AA8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C06505"/>
    <w:multiLevelType w:val="hybridMultilevel"/>
    <w:tmpl w:val="364C546A"/>
    <w:lvl w:ilvl="0" w:tplc="3FB8E740">
      <w:numFmt w:val="bullet"/>
      <w:lvlText w:val="-"/>
      <w:lvlJc w:val="left"/>
      <w:pPr>
        <w:ind w:left="1571" w:hanging="360"/>
      </w:pPr>
      <w:rPr>
        <w:rFonts w:ascii="Calibri" w:eastAsia="Arial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6DC62461"/>
    <w:multiLevelType w:val="hybridMultilevel"/>
    <w:tmpl w:val="8E942A7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6742276"/>
    <w:multiLevelType w:val="hybridMultilevel"/>
    <w:tmpl w:val="9D94A84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8"/>
  </w:num>
  <w:num w:numId="7">
    <w:abstractNumId w:val="3"/>
  </w:num>
  <w:num w:numId="8">
    <w:abstractNumId w:val="7"/>
  </w:num>
  <w:num w:numId="9">
    <w:abstractNumId w:val="1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B53"/>
    <w:rsid w:val="00001E3E"/>
    <w:rsid w:val="000332E7"/>
    <w:rsid w:val="00042178"/>
    <w:rsid w:val="00043E8A"/>
    <w:rsid w:val="000865CB"/>
    <w:rsid w:val="000B7ED8"/>
    <w:rsid w:val="00104A51"/>
    <w:rsid w:val="00127A9F"/>
    <w:rsid w:val="00136EF6"/>
    <w:rsid w:val="0014225B"/>
    <w:rsid w:val="00184404"/>
    <w:rsid w:val="00191F8A"/>
    <w:rsid w:val="00195B05"/>
    <w:rsid w:val="001B0A78"/>
    <w:rsid w:val="001B11FF"/>
    <w:rsid w:val="001C025A"/>
    <w:rsid w:val="001F6EC7"/>
    <w:rsid w:val="0022128B"/>
    <w:rsid w:val="002237C8"/>
    <w:rsid w:val="0022505E"/>
    <w:rsid w:val="00275DEC"/>
    <w:rsid w:val="00281B0E"/>
    <w:rsid w:val="0028549C"/>
    <w:rsid w:val="002C4718"/>
    <w:rsid w:val="002D0BF2"/>
    <w:rsid w:val="00302A9B"/>
    <w:rsid w:val="00382A36"/>
    <w:rsid w:val="00384DBF"/>
    <w:rsid w:val="003865DD"/>
    <w:rsid w:val="003C5EFA"/>
    <w:rsid w:val="003C6CCD"/>
    <w:rsid w:val="003F6794"/>
    <w:rsid w:val="00403215"/>
    <w:rsid w:val="00406BF2"/>
    <w:rsid w:val="004161B7"/>
    <w:rsid w:val="004215E8"/>
    <w:rsid w:val="00421B53"/>
    <w:rsid w:val="004D0505"/>
    <w:rsid w:val="004E7E7B"/>
    <w:rsid w:val="00516D80"/>
    <w:rsid w:val="00554E83"/>
    <w:rsid w:val="005615BB"/>
    <w:rsid w:val="00561C77"/>
    <w:rsid w:val="00595467"/>
    <w:rsid w:val="005B626B"/>
    <w:rsid w:val="005B63E8"/>
    <w:rsid w:val="005C3AAA"/>
    <w:rsid w:val="005D7736"/>
    <w:rsid w:val="005F501E"/>
    <w:rsid w:val="00610E2C"/>
    <w:rsid w:val="006463E0"/>
    <w:rsid w:val="00701156"/>
    <w:rsid w:val="0071598F"/>
    <w:rsid w:val="00726FAE"/>
    <w:rsid w:val="0074167D"/>
    <w:rsid w:val="0079711F"/>
    <w:rsid w:val="007A54E8"/>
    <w:rsid w:val="007E79F7"/>
    <w:rsid w:val="00837E8A"/>
    <w:rsid w:val="008A4539"/>
    <w:rsid w:val="008C4739"/>
    <w:rsid w:val="008D5CD6"/>
    <w:rsid w:val="008F0DE3"/>
    <w:rsid w:val="008F5890"/>
    <w:rsid w:val="00900BCA"/>
    <w:rsid w:val="0090549D"/>
    <w:rsid w:val="009D0C41"/>
    <w:rsid w:val="009F3E76"/>
    <w:rsid w:val="00A66A41"/>
    <w:rsid w:val="00A700FB"/>
    <w:rsid w:val="00A92928"/>
    <w:rsid w:val="00AA32CA"/>
    <w:rsid w:val="00B03A8C"/>
    <w:rsid w:val="00B46BF4"/>
    <w:rsid w:val="00B5222F"/>
    <w:rsid w:val="00B53E65"/>
    <w:rsid w:val="00B70616"/>
    <w:rsid w:val="00B912A0"/>
    <w:rsid w:val="00BB6E98"/>
    <w:rsid w:val="00BC015C"/>
    <w:rsid w:val="00C07400"/>
    <w:rsid w:val="00C230E3"/>
    <w:rsid w:val="00C26E90"/>
    <w:rsid w:val="00C34171"/>
    <w:rsid w:val="00C73AA5"/>
    <w:rsid w:val="00CA5C47"/>
    <w:rsid w:val="00CF11DE"/>
    <w:rsid w:val="00CF6F96"/>
    <w:rsid w:val="00D004A5"/>
    <w:rsid w:val="00D16A18"/>
    <w:rsid w:val="00D332C8"/>
    <w:rsid w:val="00D53697"/>
    <w:rsid w:val="00D558BF"/>
    <w:rsid w:val="00D61F34"/>
    <w:rsid w:val="00D76099"/>
    <w:rsid w:val="00D907DE"/>
    <w:rsid w:val="00DA278F"/>
    <w:rsid w:val="00DA78F2"/>
    <w:rsid w:val="00DB7C00"/>
    <w:rsid w:val="00DC1A38"/>
    <w:rsid w:val="00E05C95"/>
    <w:rsid w:val="00E07424"/>
    <w:rsid w:val="00E213D9"/>
    <w:rsid w:val="00E51898"/>
    <w:rsid w:val="00EA03E8"/>
    <w:rsid w:val="00EB1CEC"/>
    <w:rsid w:val="00EB3EEC"/>
    <w:rsid w:val="00ED1186"/>
    <w:rsid w:val="00ED5841"/>
    <w:rsid w:val="00F121DA"/>
    <w:rsid w:val="00F34217"/>
    <w:rsid w:val="00F408EC"/>
    <w:rsid w:val="00F45E4E"/>
    <w:rsid w:val="00F87455"/>
    <w:rsid w:val="00FA13B8"/>
    <w:rsid w:val="00FA6917"/>
    <w:rsid w:val="00FB0705"/>
    <w:rsid w:val="00FC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5796DA"/>
  <w15:docId w15:val="{E126554B-50A6-9247-AD50-986F00D39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rFonts w:ascii="Times" w:eastAsia="Times" w:hAnsi="Times" w:cs="Times"/>
      <w:b/>
      <w:sz w:val="48"/>
      <w:szCs w:val="48"/>
    </w:rPr>
  </w:style>
  <w:style w:type="paragraph" w:styleId="Titre2">
    <w:name w:val="heading 2"/>
    <w:basedOn w:val="Normal"/>
    <w:next w:val="Normal"/>
    <w:uiPriority w:val="9"/>
    <w:unhideWhenUsed/>
    <w:qFormat/>
    <w:pPr>
      <w:keepNext/>
      <w:outlineLvl w:val="1"/>
    </w:pPr>
    <w:rPr>
      <w:b/>
      <w:sz w:val="22"/>
      <w:szCs w:val="2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rFonts w:ascii="Times" w:eastAsia="Times" w:hAnsi="Times" w:cs="Times"/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jc w:val="center"/>
    </w:pPr>
    <w:rPr>
      <w:b/>
      <w:sz w:val="20"/>
      <w:szCs w:val="20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237C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37C8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28549C"/>
    <w:pPr>
      <w:ind w:left="720"/>
      <w:contextualSpacing/>
    </w:pPr>
  </w:style>
  <w:style w:type="paragraph" w:styleId="Sansinterligne">
    <w:name w:val="No Spacing"/>
    <w:uiPriority w:val="1"/>
    <w:qFormat/>
    <w:rsid w:val="009D0C41"/>
    <w:rPr>
      <w:rFonts w:ascii="Times" w:eastAsia="Times" w:hAnsi="Times"/>
      <w:szCs w:val="20"/>
    </w:rPr>
  </w:style>
  <w:style w:type="table" w:styleId="Grilledutableau">
    <w:name w:val="Table Grid"/>
    <w:basedOn w:val="TableauNormal"/>
    <w:uiPriority w:val="39"/>
    <w:rsid w:val="009D0C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01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86A63-389B-4DA1-B513-1E7721C2F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639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 seve</dc:creator>
  <cp:lastModifiedBy>carole seve</cp:lastModifiedBy>
  <cp:revision>3</cp:revision>
  <cp:lastPrinted>2019-05-07T11:55:00Z</cp:lastPrinted>
  <dcterms:created xsi:type="dcterms:W3CDTF">2019-07-04T10:01:00Z</dcterms:created>
  <dcterms:modified xsi:type="dcterms:W3CDTF">2019-07-04T10:28:00Z</dcterms:modified>
</cp:coreProperties>
</file>