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910"/>
        <w:gridCol w:w="70"/>
        <w:gridCol w:w="2268"/>
        <w:gridCol w:w="203"/>
        <w:gridCol w:w="2594"/>
        <w:gridCol w:w="463"/>
        <w:gridCol w:w="1854"/>
        <w:gridCol w:w="2257"/>
        <w:gridCol w:w="58"/>
        <w:gridCol w:w="2317"/>
      </w:tblGrid>
      <w:tr>
        <w:trPr>
          <w:tblCellSpacing w:w="0" w:type="dxa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9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>
              <w:rPr>
                <w:b/>
                <w:bCs/>
                <w:color w:val="ff0000"/>
                <w:u w:val="single"/>
              </w:rPr>
              <w:t xml:space="preserve">THEME:</w:t>
            </w:r>
            <w:r>
              <w:rPr>
                <w:b/>
                <w:bCs/>
              </w:rPr>
              <w:t xml:space="preserve">    WORKING EXPERIENCE</w:t>
            </w:r>
            <w:r/>
          </w:p>
          <w:p>
            <w:pPr>
              <w:pBdr/>
              <w:spacing w:after="0"/>
              <w:ind/>
              <w:rPr/>
            </w:pPr>
            <w:r>
              <w:rPr>
                <w:b/>
                <w:bCs/>
              </w:rPr>
              <w:t xml:space="preserve">Classe : T° Pro                                              Niveau visé :    B1                                                          Durée :</w:t>
            </w:r>
            <w:r>
              <w:rPr>
                <w:b/>
                <w:bCs/>
              </w:rPr>
              <w:t xml:space="preserve"> 5</w:t>
            </w:r>
            <w:r>
              <w:rPr>
                <w:b/>
                <w:bCs/>
              </w:rPr>
              <w:t xml:space="preserve"> séances de </w:t>
            </w: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  <w:t xml:space="preserve">H </w:t>
            </w:r>
            <w:r>
              <w:rPr>
                <w:b/>
                <w:bCs/>
              </w:rPr>
              <w:t xml:space="preserve">+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Évaluations</w:t>
            </w:r>
            <w:r>
              <w:rPr>
                <w:b/>
                <w:bCs/>
              </w:rPr>
              <w:t xml:space="preserve">                                         </w:t>
            </w:r>
            <w:r/>
          </w:p>
        </w:tc>
      </w:tr>
      <w:tr>
        <w:trPr>
          <w:tblCellSpacing w:w="0" w:type="dxa"/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1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rPr>
                <w:u w:val="single"/>
              </w:rPr>
            </w:pPr>
            <w:r>
              <w:rPr>
                <w:b/>
                <w:bCs/>
                <w:color w:val="45b0e1" w:themeColor="accent1" w:themeTint="99"/>
                <w:u w:val="single"/>
              </w:rPr>
              <w:t xml:space="preserve">Descripteurs </w:t>
            </w:r>
            <w:r>
              <w:rPr>
                <w:color w:val="45b0e1" w:themeColor="accent1" w:themeTint="99"/>
                <w:u w:val="single"/>
              </w:rPr>
              <w:t xml:space="preserve"> 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1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Compréhension orale</w:t>
            </w:r>
            <w:r>
              <w:rPr>
                <w:b/>
                <w:bCs/>
                <w:u w:val="single"/>
              </w:rPr>
            </w:r>
            <w:r>
              <w:rPr>
                <w:b/>
                <w:bCs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Compréhension écrite</w:t>
            </w:r>
            <w:r>
              <w:rPr>
                <w:b/>
                <w:bCs/>
                <w:u w:val="single"/>
              </w:rPr>
            </w:r>
            <w:r>
              <w:rPr>
                <w:b/>
                <w:bCs/>
                <w:u w:val="singl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Production Orale</w:t>
            </w:r>
            <w:r>
              <w:rPr>
                <w:b/>
                <w:bCs/>
                <w:u w:val="single"/>
              </w:rPr>
            </w:r>
            <w:r>
              <w:rPr>
                <w:b/>
                <w:bCs/>
                <w:u w:val="singl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Production écrite</w:t>
            </w:r>
            <w:r>
              <w:rPr>
                <w:b/>
                <w:bCs/>
                <w:u w:val="single"/>
              </w:rPr>
            </w:r>
            <w:r>
              <w:rPr>
                <w:b/>
                <w:bCs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Interaction</w:t>
            </w:r>
            <w:r>
              <w:rPr>
                <w:b/>
                <w:bCs/>
                <w:u w:val="single"/>
              </w:rPr>
            </w:r>
            <w:r>
              <w:rPr>
                <w:b/>
                <w:bCs/>
                <w:u w:val="single"/>
              </w:rPr>
            </w:r>
          </w:p>
        </w:tc>
      </w:tr>
      <w:tr>
        <w:trPr>
          <w:tblCellSpacing w:w="0" w:type="dxa"/>
          <w:trHeight w:val="22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  <w:r>
              <w:rPr>
                <w:b/>
                <w:bCs/>
                <w:u w:val="single"/>
              </w:rPr>
            </w:r>
            <w:r>
              <w:rPr>
                <w:b/>
                <w:bCs/>
                <w:u w:val="singl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1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  <w:t xml:space="preserve">Peut comprendre des informations techniques simples, tels que des modes d’emploi pour un équipement d’usage courant.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Bdr/>
              <w:spacing w:after="0"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  <w:t xml:space="preserve">Peut comprendre les points principaux d’une intervention sur des sujets familiers rencontrés régulièrement au travail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Bdr/>
              <w:spacing w:after="0"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t xml:space="preserve"> </w:t>
            </w:r>
            <w:r>
              <w:rPr>
                <w:sz w:val="16"/>
                <w:szCs w:val="16"/>
              </w:rPr>
              <w:t xml:space="preserve">Peut comprendre les points principaux des bulletins d’information radiophoniques et de documents enregistrés simples, sur un sujet familier, si le débit est assez lent et la langue relativement articulée.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Bdr/>
              <w:spacing w:after="0"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t xml:space="preserve"> </w:t>
            </w:r>
            <w:r>
              <w:rPr>
                <w:sz w:val="16"/>
                <w:szCs w:val="16"/>
              </w:rPr>
              <w:t xml:space="preserve">Peut suivre des directives détaillées.  Peut comprendre des informations tech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-Peut lire des textes factuels directs sur des sujets relatifs à son domaine et à ses intérêts avec un niveau satisfaisant de compréhension.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Bdr/>
              <w:spacing w:after="0"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t xml:space="preserve"> </w:t>
            </w:r>
            <w:r>
              <w:rPr>
                <w:sz w:val="16"/>
                <w:szCs w:val="16"/>
              </w:rPr>
              <w:t xml:space="preserve">Peut parcourir un texte assez long pour y localiser une information cherchée et peut réunir des informations provenant de différentes parties du texte ou de textes différents afin d’accomplir une tâche spécifique.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Bdr/>
              <w:spacing w:after="0"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t xml:space="preserve"> </w:t>
            </w:r>
            <w:r>
              <w:rPr>
                <w:sz w:val="16"/>
                <w:szCs w:val="16"/>
              </w:rPr>
              <w:t xml:space="preserve">Peut trouver et comprendre l’information pertinente dans des écrits quotidiens tels que lettres, prospectus et courts documents officiels.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Bdr/>
              <w:spacing w:after="0"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t xml:space="preserve"> </w:t>
            </w:r>
            <w:r>
              <w:rPr>
                <w:sz w:val="16"/>
                <w:szCs w:val="16"/>
              </w:rPr>
              <w:t xml:space="preserve">Peut identifier les principales conclusions d’un texte argumentatif clairement articulé.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  <w:t xml:space="preserve">Peut assez aisément mener à bien une description directe et non compliquée de sujets variés dans son domaine en la présentant comme une succession linéaire de points.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Bdr/>
              <w:spacing w:after="0"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  <w:t xml:space="preserve">Peut faire un exposé simple et direct, préparé, sur un sujet familier dans son domaine qui soit assez clair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Bdr/>
              <w:spacing w:after="0"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t xml:space="preserve"> </w:t>
            </w:r>
            <w:r>
              <w:rPr>
                <w:sz w:val="16"/>
                <w:szCs w:val="16"/>
              </w:rPr>
              <w:t xml:space="preserve">Peut relater en détail ses expériences en décrivant ses sentiments et ses réactions.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Bdr/>
              <w:spacing w:after="0"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t xml:space="preserve"> </w:t>
            </w:r>
            <w:r>
              <w:rPr>
                <w:sz w:val="16"/>
                <w:szCs w:val="16"/>
              </w:rPr>
              <w:t xml:space="preserve">Peut rapporter assez couramment une narration ou </w:t>
            </w:r>
            <w:r>
              <w:rPr>
                <w:sz w:val="16"/>
                <w:szCs w:val="16"/>
              </w:rPr>
              <w:t xml:space="preserve">une description simple</w:t>
            </w:r>
            <w:r>
              <w:rPr>
                <w:sz w:val="16"/>
                <w:szCs w:val="16"/>
              </w:rPr>
              <w:t xml:space="preserve"> sous forme d’une suite de points.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  <w:t xml:space="preserve">Peut écrire des rapports très brefs de forme standard conventionnelle qui transmettent des informations factuelles courantes et justifient des actions.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Bdr/>
              <w:spacing w:after="0"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t xml:space="preserve"> </w:t>
            </w:r>
            <w:r>
              <w:rPr>
                <w:sz w:val="16"/>
                <w:szCs w:val="16"/>
              </w:rPr>
              <w:t xml:space="preserve">Peut écrire de brefs essais simples sur des sujets d’intérêt général.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Bdr/>
              <w:spacing w:after="0"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t xml:space="preserve"> </w:t>
            </w:r>
            <w:r>
              <w:rPr>
                <w:sz w:val="16"/>
                <w:szCs w:val="16"/>
              </w:rPr>
              <w:t xml:space="preserve">Peut écrire des textes articulés simplement sur une gamme de sujets variés dans son domaine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Bdr/>
              <w:spacing w:after="0"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t xml:space="preserve"> </w:t>
            </w:r>
            <w:r>
              <w:rPr>
                <w:sz w:val="16"/>
                <w:szCs w:val="16"/>
              </w:rPr>
              <w:t xml:space="preserve">Peut faire le compte rendu d’expériences en décrivant ses sentiments et ses réactions dans un texte simple et articulé.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t xml:space="preserve"> </w:t>
            </w:r>
            <w:r>
              <w:rPr>
                <w:sz w:val="16"/>
                <w:szCs w:val="16"/>
              </w:rPr>
              <w:t xml:space="preserve">Peut expliquer pourquoi quelque chose pose </w:t>
            </w:r>
            <w:r>
              <w:rPr>
                <w:sz w:val="16"/>
                <w:szCs w:val="16"/>
              </w:rPr>
              <w:t xml:space="preserve">un problème</w:t>
            </w:r>
            <w:r>
              <w:rPr>
                <w:sz w:val="16"/>
                <w:szCs w:val="16"/>
              </w:rPr>
              <w:t xml:space="preserve">, discuter de la suite à donner, comparer et opposer les solutions.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Bdr/>
              <w:spacing w:after="0"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t xml:space="preserve"> </w:t>
            </w:r>
            <w:r>
              <w:rPr>
                <w:sz w:val="16"/>
                <w:szCs w:val="16"/>
              </w:rPr>
              <w:t xml:space="preserve">Peut communiquer avec une certaine assurance sur des sujets familiers habituels ou non en relation avec ses intérêts et son domaine professionnel.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Bdr/>
              <w:spacing w:after="0"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t xml:space="preserve"> </w:t>
            </w:r>
            <w:r>
              <w:rPr>
                <w:sz w:val="16"/>
                <w:szCs w:val="16"/>
              </w:rPr>
              <w:t xml:space="preserve">Peut faire comprendre ses opinions et réactions par rapport aux solutions possibles ou à la suite à donner, en donnant brièvement des raisons et des explications.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>
          <w:tblCellSpacing w:w="0" w:type="dxa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9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color w:val="ff0000"/>
                <w:u w:val="single"/>
              </w:rPr>
              <w:t xml:space="preserve">Projets</w:t>
            </w:r>
            <w:r>
              <w:rPr>
                <w:b/>
                <w:bCs/>
                <w:color w:val="ff0000"/>
                <w:u w:val="single"/>
              </w:rPr>
            </w:r>
          </w:p>
          <w:p>
            <w:pPr>
              <w:pBdr/>
              <w:spacing w:after="0"/>
              <w:ind/>
              <w:rPr/>
            </w:pPr>
            <w:r>
              <w:rPr>
                <w:b/>
                <w:bCs/>
              </w:rPr>
              <w:t xml:space="preserve">P.E</w:t>
            </w:r>
            <w:r>
              <w:rPr>
                <w:b/>
                <w:bCs/>
              </w:rPr>
              <w:t xml:space="preserve"> : 1° </w:t>
            </w:r>
            <w:r>
              <w:rPr>
                <w:b/>
                <w:bCs/>
              </w:rPr>
              <w:t xml:space="preserve">Rédigez votre CV et votre lettre de motivation </w:t>
            </w:r>
            <w:r/>
          </w:p>
          <w:p>
            <w:pPr>
              <w:pBdr/>
              <w:spacing w:after="0"/>
              <w:ind/>
              <w:rPr/>
            </w:pPr>
            <w:r>
              <w:rPr>
                <w:b/>
                <w:bCs/>
              </w:rPr>
              <w:t xml:space="preserve">P.</w:t>
            </w:r>
            <w:r>
              <w:rPr>
                <w:b/>
                <w:bCs/>
              </w:rPr>
              <w:t xml:space="preserve">O.I</w:t>
            </w:r>
            <w:r>
              <w:rPr>
                <w:b/>
                <w:bCs/>
              </w:rPr>
              <w:t xml:space="preserve"> : 2° </w:t>
            </w:r>
            <w:r>
              <w:rPr>
                <w:b/>
                <w:bCs/>
              </w:rPr>
              <w:t xml:space="preserve">Participez à un entretien d’embauche </w:t>
            </w:r>
            <w:r/>
          </w:p>
        </w:tc>
      </w:tr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>
              <w:rPr>
                <w:b/>
                <w:bCs/>
              </w:rPr>
              <w:t xml:space="preserve">Séances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Compétence</w:t>
            </w:r>
            <w:r>
              <w:rPr>
                <w:b/>
                <w:bCs/>
              </w:rPr>
              <w:t xml:space="preserve">s d</w:t>
            </w:r>
            <w:r>
              <w:rPr>
                <w:b/>
                <w:bCs/>
              </w:rPr>
              <w:t xml:space="preserve">ominante</w:t>
            </w:r>
            <w:r>
              <w:rPr>
                <w:b/>
                <w:bCs/>
              </w:rPr>
              <w:t xml:space="preserve">s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>
              <w:rPr>
                <w:b/>
                <w:bCs/>
              </w:rPr>
              <w:t xml:space="preserve">Lexique/Outils de langue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>
              <w:rPr>
                <w:b/>
                <w:bCs/>
              </w:rPr>
              <w:t xml:space="preserve">Contenu/ Mise en œuvre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>
              <w:rPr>
                <w:b/>
                <w:bCs/>
              </w:rPr>
              <w:t xml:space="preserve">Supports</w:t>
            </w:r>
            <w:r/>
          </w:p>
        </w:tc>
      </w:tr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pBdr/>
              <w:spacing w:after="0"/>
              <w:ind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Be a good Mechanic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</w:t>
            </w:r>
            <w:r>
              <w:rPr>
                <w:sz w:val="20"/>
                <w:szCs w:val="20"/>
              </w:rPr>
              <w:t xml:space="preserve">.O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C.E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Verbes, noms, adverbes liés au monde du travail.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Anticipation à l’oral sur la spécialité des élèves</w:t>
            </w:r>
            <w:r>
              <w:rPr>
                <w:sz w:val="20"/>
                <w:szCs w:val="20"/>
              </w:rPr>
              <w:t xml:space="preserve"> (ici la mécanique).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Etudier un texte en lien avec la spécialité et le lexique et définir les enjeux de la compréhension écrite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Consolider les acquis lexicaux.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Evaluation formative : comprendre une offre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Devoir maison : résumer un texte en français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Texte</w:t>
            </w:r>
            <w:r>
              <w:rPr>
                <w:sz w:val="20"/>
                <w:szCs w:val="20"/>
                <w:lang w:val="en-US"/>
              </w:rPr>
              <w:t xml:space="preserve">: « Simple ways to become a better mechanic” Rockstar mechanic, </w:t>
            </w:r>
            <w:r>
              <w:rPr>
                <w:sz w:val="20"/>
                <w:szCs w:val="20"/>
                <w:lang w:val="en-US"/>
              </w:rPr>
              <w:t xml:space="preserve">blog</w:t>
            </w:r>
            <w:r>
              <w:rPr>
                <w:sz w:val="20"/>
                <w:szCs w:val="20"/>
                <w:lang w:val="en-US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Job ad: </w:t>
            </w:r>
            <w:r>
              <w:rPr>
                <w:sz w:val="20"/>
                <w:szCs w:val="20"/>
                <w:lang w:val="en-US"/>
              </w:rPr>
              <w:t xml:space="preserve">Now Hiring for Dubaï</w:t>
            </w:r>
            <w:r>
              <w:rPr>
                <w:sz w:val="20"/>
                <w:szCs w:val="20"/>
                <w:lang w:val="en-US"/>
              </w:rPr>
              <w:t xml:space="preserve">, annonce en ligne en 2023, google.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rPr>
          <w:tblCellSpacing w:w="0" w:type="dxa"/>
          <w:trHeight w:val="253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Basic knowledge of vehicles and basic skills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C.E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</w:t>
            </w:r>
            <w:r>
              <w:rPr>
                <w:sz w:val="20"/>
                <w:szCs w:val="20"/>
                <w:lang w:val="en-US"/>
              </w:rPr>
              <w:t xml:space="preserve">.E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vocabulaire spécifique des véhicules : auto et moto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différents types de véhicules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Link words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Mémoriser et réinvestir </w:t>
            </w:r>
            <w:r>
              <w:rPr>
                <w:sz w:val="20"/>
                <w:szCs w:val="20"/>
              </w:rPr>
              <w:t xml:space="preserve">un vocabulaire spécifique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Déterminer ses </w:t>
            </w:r>
            <w:r>
              <w:rPr>
                <w:sz w:val="20"/>
                <w:szCs w:val="20"/>
              </w:rPr>
              <w:t xml:space="preserve">propres aptitudes</w:t>
            </w:r>
            <w:r>
              <w:rPr>
                <w:sz w:val="20"/>
                <w:szCs w:val="20"/>
              </w:rPr>
              <w:t xml:space="preserve"> professionnelles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Evaluation de vocabulaire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Expression écrite/Fiche bac N°1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Cartes mentales 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Videos</w:t>
            </w:r>
            <w:r>
              <w:rPr>
                <w:sz w:val="20"/>
                <w:szCs w:val="20"/>
                <w:lang w:val="en-US"/>
              </w:rPr>
              <w:t xml:space="preserve"> You </w:t>
            </w:r>
            <w:r>
              <w:rPr>
                <w:sz w:val="20"/>
                <w:szCs w:val="20"/>
                <w:lang w:val="en-US"/>
              </w:rPr>
              <w:t xml:space="preserve">tube:</w:t>
            </w:r>
            <w:r>
              <w:rPr>
                <w:sz w:val="20"/>
                <w:szCs w:val="20"/>
                <w:lang w:val="en-US"/>
              </w:rPr>
              <w:t xml:space="preserve"> « </w:t>
            </w:r>
            <w:r>
              <w:rPr>
                <w:sz w:val="20"/>
                <w:szCs w:val="20"/>
                <w:lang w:val="en-US"/>
              </w:rPr>
              <w:t xml:space="preserve">Parts of a car for beginners”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“Understanding the parts of a motorcycle”.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rPr>
          <w:tblCellSpacing w:w="0" w:type="dxa"/>
          <w:trHeight w:val="253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Safety rules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C. E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O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</w:t>
            </w:r>
            <w:r>
              <w:rPr>
                <w:sz w:val="20"/>
                <w:szCs w:val="20"/>
                <w:lang w:val="en-US"/>
              </w:rPr>
              <w:t xml:space="preserve">. O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équipements de sécurité : PPE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-Mémoriser les divers éléments relatifs à la sécurité et les réinvestir à bon escient à l’oral et à l’écrit.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-Comprendre des informations factuelles et être capable de les ordonner et d’en présenter un résumé.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-Réagir à des propos en affirmant ou en s’opposant.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Prodiguer</w:t>
            </w:r>
            <w:r>
              <w:rPr>
                <w:sz w:val="20"/>
                <w:szCs w:val="20"/>
              </w:rPr>
              <w:t xml:space="preserve"> des conseils utiles à l’oral et à l’écrit.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Evaluation de vocabulaire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Evaluation de compréhension orale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Texte +carte mentale : « Tactical mechanics, PPE 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Flashcards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Numérique : Quizizz, Plickers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Video: “PPE, Health and safety”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, You tube</w:t>
            </w:r>
            <w:r>
              <w:rPr>
                <w:color w:val="000000" w:themeColor="text1"/>
                <w:sz w:val="20"/>
                <w:szCs w:val="20"/>
                <w:lang w:val="en-US"/>
              </w:rPr>
            </w:r>
            <w:r>
              <w:rPr>
                <w:color w:val="000000" w:themeColor="text1"/>
                <w:sz w:val="20"/>
                <w:szCs w:val="20"/>
                <w:lang w:val="en-US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“Newcomers at the workplace, PPE at work”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, @Alberta workforce essentials skills, 2018.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rPr>
          <w:tblCellSpacing w:w="0" w:type="dxa"/>
          <w:trHeight w:val="253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The right attitude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C.E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C.O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adjectifs de personnalité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L’opinion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-Être capable de décrire sa personnalité et de définir la bonne attitude à adopter en milieu professionnel</w:t>
            </w:r>
            <w:r>
              <w:rPr>
                <w:sz w:val="20"/>
                <w:szCs w:val="20"/>
              </w:rPr>
              <w:t xml:space="preserve">, en stage.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Expliquer un problème et prodiguer des conseils sur l’attitude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-Se construire une opinion et pouvoir l’argumenter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-Appliquer la méthode de bac pour la compréhension orale et écrite.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Evaluation de vocabulaire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Evaluation de compréhension écrite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Carte mentale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Audio « What not to wear”, Skill up 1ère/Tle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Texte: “How to behave during your internship?”</w:t>
            </w:r>
            <w:r>
              <w:rPr>
                <w:sz w:val="20"/>
                <w:szCs w:val="20"/>
                <w:lang w:val="en-US"/>
              </w:rPr>
              <w:t xml:space="preserve">, Manuel Foucher.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rPr>
          <w:tblCellSpacing w:w="0" w:type="dxa"/>
          <w:trHeight w:val="215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My training period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PPC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</w:t>
            </w:r>
            <w:r>
              <w:rPr>
                <w:sz w:val="20"/>
                <w:szCs w:val="20"/>
                <w:lang w:val="en-US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E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monde du travail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-Présenter son lieu de stage de façon méthodique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-Emettre une opinion 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-Emettre une justification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-S’entrainer à la prise de parole longue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-S’entrainer à l’écriture longue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Evaluation d’expression écrite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u w:val="single"/>
              </w:rPr>
              <w:t xml:space="preserve">Video </w:t>
            </w:r>
            <w:r>
              <w:rPr>
                <w:color w:val="000000" w:themeColor="text1"/>
                <w:sz w:val="20"/>
                <w:szCs w:val="20"/>
              </w:rPr>
              <w:t xml:space="preserve">foucher Connect 21ptt15 + audio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Carte mentale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rPr>
          <w:tblCellSpacing w:w="0" w:type="dxa"/>
          <w:trHeight w:val="230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Projets</w:t>
            </w:r>
            <w:r>
              <w:rPr>
                <w:b/>
                <w:bCs/>
                <w:color w:val="ff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E.</w:t>
            </w:r>
            <w:r>
              <w:rPr>
                <w:sz w:val="20"/>
                <w:szCs w:val="20"/>
                <w:lang w:val="en-US"/>
              </w:rPr>
              <w:t xml:space="preserve">E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</w:t>
            </w:r>
            <w:r>
              <w:rPr>
                <w:sz w:val="20"/>
                <w:szCs w:val="20"/>
                <w:lang w:val="en-US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O</w:t>
            </w:r>
            <w:r>
              <w:rPr>
                <w:sz w:val="20"/>
                <w:szCs w:val="20"/>
                <w:lang w:val="en-US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CV et la lettre de motivation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+Job dating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Être capable de se constituer des documents officiels de recherche d’emploi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 w:after="0"/>
              <w:ind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Être capable d’interagir dans le cadre d’une recherche d’emploi.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5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Fiche de travail « getting ready for job dating”, Manuel Foucher 1ère/terminale</w:t>
            </w:r>
            <w:r>
              <w:rPr>
                <w:color w:val="000000" w:themeColor="text1"/>
                <w:sz w:val="20"/>
                <w:szCs w:val="20"/>
                <w:lang w:val="en-US"/>
              </w:rPr>
            </w:r>
            <w:r>
              <w:rPr>
                <w:color w:val="000000" w:themeColor="text1"/>
                <w:sz w:val="20"/>
                <w:szCs w:val="20"/>
                <w:lang w:val="en-US"/>
              </w:rPr>
            </w:r>
          </w:p>
          <w:p>
            <w:pPr>
              <w:pBdr/>
              <w:spacing w:after="0"/>
              <w:ind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Resume, Matha Walsh, Google pictures.</w:t>
            </w:r>
            <w:r>
              <w:rPr>
                <w:color w:val="000000" w:themeColor="text1"/>
                <w:sz w:val="20"/>
                <w:szCs w:val="20"/>
                <w:lang w:val="en-US"/>
              </w:rPr>
            </w:r>
            <w:r>
              <w:rPr>
                <w:color w:val="000000" w:themeColor="text1"/>
                <w:sz w:val="20"/>
                <w:szCs w:val="20"/>
                <w:lang w:val="en-US"/>
              </w:rPr>
            </w:r>
          </w:p>
        </w:tc>
      </w:tr>
      <w:tr>
        <w:trPr>
          <w:tblCellSpacing w:w="0" w:type="dxa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9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Objectifs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grammaticaux: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  <w:lang w:val="en-US"/>
              </w:rPr>
              <w:t xml:space="preserve">MUST/NEED TO</w:t>
            </w:r>
            <w:r>
              <w:rPr>
                <w:sz w:val="20"/>
                <w:szCs w:val="20"/>
                <w:lang w:val="en-US"/>
              </w:rPr>
              <w:t xml:space="preserve">/ MUSTN’T</w:t>
            </w:r>
            <w:r>
              <w:rPr>
                <w:sz w:val="20"/>
                <w:szCs w:val="20"/>
                <w:lang w:val="en-US"/>
              </w:rPr>
              <w:t xml:space="preserve">, Verbes +V-ing; </w:t>
            </w:r>
            <w:r>
              <w:rPr>
                <w:sz w:val="20"/>
                <w:szCs w:val="20"/>
                <w:lang w:val="en-US"/>
              </w:rPr>
              <w:t xml:space="preserve">SHOULD</w:t>
            </w:r>
            <w:r>
              <w:rPr>
                <w:sz w:val="20"/>
                <w:szCs w:val="20"/>
                <w:lang w:val="en-US"/>
              </w:rPr>
              <w:t xml:space="preserve">/SHOULDN’T, </w:t>
            </w:r>
            <w:r>
              <w:rPr>
                <w:sz w:val="20"/>
                <w:szCs w:val="20"/>
                <w:lang w:val="en-US"/>
              </w:rPr>
              <w:t xml:space="preserve">Prétérit.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rPr>
          <w:tblCellSpacing w:w="0" w:type="dxa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9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Objectifs phonologiques : </w:t>
            </w:r>
            <w:r>
              <w:rPr>
                <w:b/>
                <w:bCs/>
                <w:sz w:val="20"/>
                <w:szCs w:val="20"/>
              </w:rPr>
              <w:t xml:space="preserve">[ee] [ea] ; Adjectifs [on] [in]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9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Objectifs culturels : </w:t>
            </w:r>
            <w:r>
              <w:rPr>
                <w:b/>
                <w:bCs/>
                <w:sz w:val="20"/>
                <w:szCs w:val="20"/>
              </w:rPr>
              <w:t xml:space="preserve">Working environment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Bdr/>
        <w:spacing w:after="0"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h="11906" w:orient="landscape" w:w="16838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9">
    <w:name w:val="Table Grid"/>
    <w:basedOn w:val="87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Table Grid Light"/>
    <w:basedOn w:val="8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1"/>
    <w:basedOn w:val="8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2"/>
    <w:basedOn w:val="8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1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2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3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4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5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6"/>
    <w:basedOn w:val="8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1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2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3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4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5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6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1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2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3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4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5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6"/>
    <w:basedOn w:val="8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1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2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3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4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5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6"/>
    <w:basedOn w:val="8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5">
    <w:name w:val="Heading 1 Char"/>
    <w:basedOn w:val="877"/>
    <w:link w:val="8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26">
    <w:name w:val="Heading 2 Char"/>
    <w:basedOn w:val="877"/>
    <w:link w:val="8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27">
    <w:name w:val="Heading 3 Char"/>
    <w:basedOn w:val="877"/>
    <w:link w:val="8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28">
    <w:name w:val="Heading 4 Char"/>
    <w:basedOn w:val="877"/>
    <w:link w:val="87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29">
    <w:name w:val="Heading 5 Char"/>
    <w:basedOn w:val="877"/>
    <w:link w:val="8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0">
    <w:name w:val="Heading 6 Char"/>
    <w:basedOn w:val="877"/>
    <w:link w:val="87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1">
    <w:name w:val="Heading 7 Char"/>
    <w:basedOn w:val="877"/>
    <w:link w:val="87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2">
    <w:name w:val="Heading 8 Char"/>
    <w:basedOn w:val="877"/>
    <w:link w:val="8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3">
    <w:name w:val="Heading 9 Char"/>
    <w:basedOn w:val="877"/>
    <w:link w:val="8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4">
    <w:name w:val="Title Char"/>
    <w:basedOn w:val="877"/>
    <w:link w:val="88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35">
    <w:name w:val="Subtitle Char"/>
    <w:basedOn w:val="877"/>
    <w:link w:val="89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6">
    <w:name w:val="Quote Char"/>
    <w:basedOn w:val="877"/>
    <w:link w:val="89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37">
    <w:name w:val="Intense Quote Char"/>
    <w:basedOn w:val="877"/>
    <w:link w:val="897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838">
    <w:name w:val="No Spacing"/>
    <w:basedOn w:val="867"/>
    <w:uiPriority w:val="1"/>
    <w:qFormat/>
    <w:pPr>
      <w:pBdr/>
      <w:spacing w:after="0" w:line="240" w:lineRule="auto"/>
      <w:ind/>
    </w:pPr>
  </w:style>
  <w:style w:type="character" w:styleId="839">
    <w:name w:val="Subtle Emphasis"/>
    <w:basedOn w:val="8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0">
    <w:name w:val="Emphasis"/>
    <w:basedOn w:val="877"/>
    <w:uiPriority w:val="20"/>
    <w:qFormat/>
    <w:pPr>
      <w:pBdr/>
      <w:spacing/>
      <w:ind/>
    </w:pPr>
    <w:rPr>
      <w:i/>
      <w:iCs/>
    </w:rPr>
  </w:style>
  <w:style w:type="character" w:styleId="841">
    <w:name w:val="Strong"/>
    <w:basedOn w:val="877"/>
    <w:uiPriority w:val="22"/>
    <w:qFormat/>
    <w:pPr>
      <w:pBdr/>
      <w:spacing/>
      <w:ind/>
    </w:pPr>
    <w:rPr>
      <w:b/>
      <w:bCs/>
    </w:rPr>
  </w:style>
  <w:style w:type="character" w:styleId="842">
    <w:name w:val="Subtle Reference"/>
    <w:basedOn w:val="8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3">
    <w:name w:val="Book Title"/>
    <w:basedOn w:val="87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4">
    <w:name w:val="Header"/>
    <w:basedOn w:val="867"/>
    <w:link w:val="84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5">
    <w:name w:val="Header Char"/>
    <w:basedOn w:val="877"/>
    <w:link w:val="844"/>
    <w:uiPriority w:val="99"/>
    <w:pPr>
      <w:pBdr/>
      <w:spacing/>
      <w:ind/>
    </w:pPr>
  </w:style>
  <w:style w:type="paragraph" w:styleId="846">
    <w:name w:val="Footer"/>
    <w:basedOn w:val="867"/>
    <w:link w:val="84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7">
    <w:name w:val="Footer Char"/>
    <w:basedOn w:val="877"/>
    <w:link w:val="846"/>
    <w:uiPriority w:val="99"/>
    <w:pPr>
      <w:pBdr/>
      <w:spacing/>
      <w:ind/>
    </w:pPr>
  </w:style>
  <w:style w:type="paragraph" w:styleId="848">
    <w:name w:val="Caption"/>
    <w:basedOn w:val="867"/>
    <w:next w:val="86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49">
    <w:name w:val="footnote text"/>
    <w:basedOn w:val="867"/>
    <w:link w:val="85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0">
    <w:name w:val="Footnote Text Char"/>
    <w:basedOn w:val="877"/>
    <w:link w:val="849"/>
    <w:uiPriority w:val="99"/>
    <w:semiHidden/>
    <w:pPr>
      <w:pBdr/>
      <w:spacing/>
      <w:ind/>
    </w:pPr>
    <w:rPr>
      <w:sz w:val="20"/>
      <w:szCs w:val="20"/>
    </w:rPr>
  </w:style>
  <w:style w:type="character" w:styleId="851">
    <w:name w:val="footnote reference"/>
    <w:basedOn w:val="877"/>
    <w:uiPriority w:val="99"/>
    <w:semiHidden/>
    <w:unhideWhenUsed/>
    <w:pPr>
      <w:pBdr/>
      <w:spacing/>
      <w:ind/>
    </w:pPr>
    <w:rPr>
      <w:vertAlign w:val="superscript"/>
    </w:rPr>
  </w:style>
  <w:style w:type="paragraph" w:styleId="852">
    <w:name w:val="endnote text"/>
    <w:basedOn w:val="867"/>
    <w:link w:val="85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3">
    <w:name w:val="Endnote Text Char"/>
    <w:basedOn w:val="877"/>
    <w:link w:val="852"/>
    <w:uiPriority w:val="99"/>
    <w:semiHidden/>
    <w:pPr>
      <w:pBdr/>
      <w:spacing/>
      <w:ind/>
    </w:pPr>
    <w:rPr>
      <w:sz w:val="20"/>
      <w:szCs w:val="20"/>
    </w:rPr>
  </w:style>
  <w:style w:type="character" w:styleId="854">
    <w:name w:val="endnote reference"/>
    <w:basedOn w:val="877"/>
    <w:uiPriority w:val="99"/>
    <w:semiHidden/>
    <w:unhideWhenUsed/>
    <w:pPr>
      <w:pBdr/>
      <w:spacing/>
      <w:ind/>
    </w:pPr>
    <w:rPr>
      <w:vertAlign w:val="superscript"/>
    </w:rPr>
  </w:style>
  <w:style w:type="character" w:styleId="855">
    <w:name w:val="FollowedHyperlink"/>
    <w:basedOn w:val="87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6">
    <w:name w:val="toc 1"/>
    <w:basedOn w:val="867"/>
    <w:next w:val="867"/>
    <w:uiPriority w:val="39"/>
    <w:unhideWhenUsed/>
    <w:pPr>
      <w:pBdr/>
      <w:spacing w:after="100"/>
      <w:ind/>
    </w:pPr>
  </w:style>
  <w:style w:type="paragraph" w:styleId="857">
    <w:name w:val="toc 2"/>
    <w:basedOn w:val="867"/>
    <w:next w:val="867"/>
    <w:uiPriority w:val="39"/>
    <w:unhideWhenUsed/>
    <w:pPr>
      <w:pBdr/>
      <w:spacing w:after="100"/>
      <w:ind w:left="220"/>
    </w:pPr>
  </w:style>
  <w:style w:type="paragraph" w:styleId="858">
    <w:name w:val="toc 3"/>
    <w:basedOn w:val="867"/>
    <w:next w:val="867"/>
    <w:uiPriority w:val="39"/>
    <w:unhideWhenUsed/>
    <w:pPr>
      <w:pBdr/>
      <w:spacing w:after="100"/>
      <w:ind w:left="440"/>
    </w:pPr>
  </w:style>
  <w:style w:type="paragraph" w:styleId="859">
    <w:name w:val="toc 4"/>
    <w:basedOn w:val="867"/>
    <w:next w:val="867"/>
    <w:uiPriority w:val="39"/>
    <w:unhideWhenUsed/>
    <w:pPr>
      <w:pBdr/>
      <w:spacing w:after="100"/>
      <w:ind w:left="660"/>
    </w:pPr>
  </w:style>
  <w:style w:type="paragraph" w:styleId="860">
    <w:name w:val="toc 5"/>
    <w:basedOn w:val="867"/>
    <w:next w:val="867"/>
    <w:uiPriority w:val="39"/>
    <w:unhideWhenUsed/>
    <w:pPr>
      <w:pBdr/>
      <w:spacing w:after="100"/>
      <w:ind w:left="880"/>
    </w:pPr>
  </w:style>
  <w:style w:type="paragraph" w:styleId="861">
    <w:name w:val="toc 6"/>
    <w:basedOn w:val="867"/>
    <w:next w:val="867"/>
    <w:uiPriority w:val="39"/>
    <w:unhideWhenUsed/>
    <w:pPr>
      <w:pBdr/>
      <w:spacing w:after="100"/>
      <w:ind w:left="1100"/>
    </w:pPr>
  </w:style>
  <w:style w:type="paragraph" w:styleId="862">
    <w:name w:val="toc 7"/>
    <w:basedOn w:val="867"/>
    <w:next w:val="867"/>
    <w:uiPriority w:val="39"/>
    <w:unhideWhenUsed/>
    <w:pPr>
      <w:pBdr/>
      <w:spacing w:after="100"/>
      <w:ind w:left="1320"/>
    </w:pPr>
  </w:style>
  <w:style w:type="paragraph" w:styleId="863">
    <w:name w:val="toc 8"/>
    <w:basedOn w:val="867"/>
    <w:next w:val="867"/>
    <w:uiPriority w:val="39"/>
    <w:unhideWhenUsed/>
    <w:pPr>
      <w:pBdr/>
      <w:spacing w:after="100"/>
      <w:ind w:left="1540"/>
    </w:pPr>
  </w:style>
  <w:style w:type="paragraph" w:styleId="864">
    <w:name w:val="toc 9"/>
    <w:basedOn w:val="867"/>
    <w:next w:val="867"/>
    <w:uiPriority w:val="39"/>
    <w:unhideWhenUsed/>
    <w:pPr>
      <w:pBdr/>
      <w:spacing w:after="100"/>
      <w:ind w:left="1760"/>
    </w:pPr>
  </w:style>
  <w:style w:type="paragraph" w:styleId="865">
    <w:name w:val="TOC Heading"/>
    <w:uiPriority w:val="39"/>
    <w:unhideWhenUsed/>
    <w:pPr>
      <w:pBdr/>
      <w:spacing/>
      <w:ind/>
    </w:pPr>
  </w:style>
  <w:style w:type="paragraph" w:styleId="866">
    <w:name w:val="table of figures"/>
    <w:basedOn w:val="867"/>
    <w:next w:val="867"/>
    <w:uiPriority w:val="99"/>
    <w:unhideWhenUsed/>
    <w:pPr>
      <w:pBdr/>
      <w:spacing w:after="0" w:afterAutospacing="0"/>
      <w:ind/>
    </w:pPr>
  </w:style>
  <w:style w:type="paragraph" w:styleId="867" w:default="1">
    <w:name w:val="Normal"/>
    <w:qFormat/>
    <w:pPr>
      <w:pBdr/>
      <w:spacing/>
      <w:ind/>
    </w:pPr>
  </w:style>
  <w:style w:type="paragraph" w:styleId="868">
    <w:name w:val="Heading 1"/>
    <w:basedOn w:val="867"/>
    <w:next w:val="867"/>
    <w:link w:val="88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869">
    <w:name w:val="Heading 2"/>
    <w:basedOn w:val="867"/>
    <w:next w:val="867"/>
    <w:link w:val="881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870">
    <w:name w:val="Heading 3"/>
    <w:basedOn w:val="867"/>
    <w:next w:val="867"/>
    <w:link w:val="882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871">
    <w:name w:val="Heading 4"/>
    <w:basedOn w:val="867"/>
    <w:next w:val="867"/>
    <w:link w:val="883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872">
    <w:name w:val="Heading 5"/>
    <w:basedOn w:val="867"/>
    <w:next w:val="867"/>
    <w:link w:val="884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873">
    <w:name w:val="Heading 6"/>
    <w:basedOn w:val="867"/>
    <w:next w:val="867"/>
    <w:link w:val="885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874">
    <w:name w:val="Heading 7"/>
    <w:basedOn w:val="867"/>
    <w:next w:val="867"/>
    <w:link w:val="886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875">
    <w:name w:val="Heading 8"/>
    <w:basedOn w:val="867"/>
    <w:next w:val="867"/>
    <w:link w:val="887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876">
    <w:name w:val="Heading 9"/>
    <w:basedOn w:val="867"/>
    <w:next w:val="867"/>
    <w:link w:val="888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877" w:default="1">
    <w:name w:val="Default Paragraph Font"/>
    <w:uiPriority w:val="1"/>
    <w:semiHidden/>
    <w:unhideWhenUsed/>
    <w:pPr>
      <w:pBdr/>
      <w:spacing/>
      <w:ind/>
    </w:pPr>
  </w:style>
  <w:style w:type="table" w:styleId="87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9" w:default="1">
    <w:name w:val="No List"/>
    <w:uiPriority w:val="99"/>
    <w:semiHidden/>
    <w:unhideWhenUsed/>
    <w:pPr>
      <w:pBdr/>
      <w:spacing/>
      <w:ind/>
    </w:pPr>
  </w:style>
  <w:style w:type="character" w:styleId="880" w:customStyle="1">
    <w:name w:val="Titre 1 Car"/>
    <w:basedOn w:val="877"/>
    <w:link w:val="868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881" w:customStyle="1">
    <w:name w:val="Titre 2 Car"/>
    <w:basedOn w:val="877"/>
    <w:link w:val="869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882" w:customStyle="1">
    <w:name w:val="Titre 3 Car"/>
    <w:basedOn w:val="877"/>
    <w:link w:val="870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883" w:customStyle="1">
    <w:name w:val="Titre 4 Car"/>
    <w:basedOn w:val="877"/>
    <w:link w:val="871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884" w:customStyle="1">
    <w:name w:val="Titre 5 Car"/>
    <w:basedOn w:val="877"/>
    <w:link w:val="872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885" w:customStyle="1">
    <w:name w:val="Titre 6 Car"/>
    <w:basedOn w:val="877"/>
    <w:link w:val="873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886" w:customStyle="1">
    <w:name w:val="Titre 7 Car"/>
    <w:basedOn w:val="877"/>
    <w:link w:val="874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887" w:customStyle="1">
    <w:name w:val="Titre 8 Car"/>
    <w:basedOn w:val="877"/>
    <w:link w:val="875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888" w:customStyle="1">
    <w:name w:val="Titre 9 Car"/>
    <w:basedOn w:val="877"/>
    <w:link w:val="876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889">
    <w:name w:val="Title"/>
    <w:basedOn w:val="867"/>
    <w:next w:val="867"/>
    <w:link w:val="890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90" w:customStyle="1">
    <w:name w:val="Titre Car"/>
    <w:basedOn w:val="877"/>
    <w:link w:val="889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91">
    <w:name w:val="Subtitle"/>
    <w:basedOn w:val="867"/>
    <w:next w:val="867"/>
    <w:link w:val="892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92" w:customStyle="1">
    <w:name w:val="Sous-titre Car"/>
    <w:basedOn w:val="877"/>
    <w:link w:val="891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93">
    <w:name w:val="Quote"/>
    <w:basedOn w:val="867"/>
    <w:next w:val="867"/>
    <w:link w:val="89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4" w:customStyle="1">
    <w:name w:val="Citation Car"/>
    <w:basedOn w:val="877"/>
    <w:link w:val="89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95">
    <w:name w:val="List Paragraph"/>
    <w:basedOn w:val="867"/>
    <w:uiPriority w:val="34"/>
    <w:qFormat/>
    <w:pPr>
      <w:pBdr/>
      <w:spacing/>
      <w:ind w:left="720"/>
      <w:contextualSpacing w:val="true"/>
    </w:pPr>
  </w:style>
  <w:style w:type="character" w:styleId="896">
    <w:name w:val="Intense Emphasis"/>
    <w:basedOn w:val="87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97">
    <w:name w:val="Intense Quote"/>
    <w:basedOn w:val="867"/>
    <w:next w:val="867"/>
    <w:link w:val="89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98" w:customStyle="1">
    <w:name w:val="Citation intense Car"/>
    <w:basedOn w:val="877"/>
    <w:link w:val="89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9">
    <w:name w:val="Intense Reference"/>
    <w:basedOn w:val="87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00">
    <w:name w:val="Hyperlink"/>
    <w:basedOn w:val="877"/>
    <w:uiPriority w:val="99"/>
    <w:unhideWhenUsed/>
    <w:pPr>
      <w:pBdr/>
      <w:spacing/>
      <w:ind/>
    </w:pPr>
    <w:rPr>
      <w:color w:val="467886" w:themeColor="hyperlink"/>
      <w:u w:val="single"/>
    </w:rPr>
  </w:style>
  <w:style w:type="character" w:styleId="901">
    <w:name w:val="Unresolved Mention"/>
    <w:basedOn w:val="877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onlyoffice/8.2.0.143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ｲяצﾒﾒ 木 .</dc:creator>
  <cp:keywords/>
  <dc:description/>
  <cp:lastModifiedBy>Magnen-Bernard Sandrine</cp:lastModifiedBy>
  <cp:revision>31</cp:revision>
  <dcterms:created xsi:type="dcterms:W3CDTF">2024-10-02T03:55:00Z</dcterms:created>
  <dcterms:modified xsi:type="dcterms:W3CDTF">2025-04-21T01:08:15Z</dcterms:modified>
</cp:coreProperties>
</file>