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3612" w:rsidRPr="00165A7F" w:rsidRDefault="005B0B55" w:rsidP="00165A7F">
      <w:pPr>
        <w:spacing w:after="0"/>
        <w:jc w:val="center"/>
        <w:rPr>
          <w:b/>
          <w:sz w:val="28"/>
          <w:szCs w:val="28"/>
        </w:rPr>
      </w:pPr>
      <w:r w:rsidRPr="00165A7F">
        <w:rPr>
          <w:b/>
          <w:sz w:val="28"/>
          <w:szCs w:val="28"/>
        </w:rPr>
        <w:t>Fiche de conformité du CCF</w:t>
      </w:r>
    </w:p>
    <w:p w:rsidR="005B0B55" w:rsidRPr="00165A7F" w:rsidRDefault="005B0B55" w:rsidP="00165A7F">
      <w:pPr>
        <w:spacing w:after="0"/>
        <w:jc w:val="center"/>
        <w:rPr>
          <w:b/>
          <w:sz w:val="28"/>
          <w:szCs w:val="28"/>
        </w:rPr>
      </w:pPr>
      <w:r w:rsidRPr="00165A7F">
        <w:rPr>
          <w:b/>
          <w:sz w:val="28"/>
          <w:szCs w:val="28"/>
        </w:rPr>
        <w:t>SE2 : Evaluation écrite</w:t>
      </w:r>
    </w:p>
    <w:p w:rsidR="005B0B55" w:rsidRDefault="005B0B55">
      <w:r>
        <w:t>Ce document permet au professeur de vérifier si la situation SE2 qu’il propose est conforme à la définition de l’épreuve.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3"/>
        <w:gridCol w:w="993"/>
        <w:gridCol w:w="1134"/>
      </w:tblGrid>
      <w:tr w:rsidR="005B0B55" w:rsidRPr="005B0B55" w:rsidTr="00086B27">
        <w:tc>
          <w:tcPr>
            <w:tcW w:w="7933" w:type="dxa"/>
            <w:shd w:val="clear" w:color="auto" w:fill="CC66FF"/>
          </w:tcPr>
          <w:p w:rsidR="005B0B55" w:rsidRPr="005B0B55" w:rsidRDefault="005B0B55">
            <w:pPr>
              <w:rPr>
                <w:b/>
                <w:color w:val="FFFFFF" w:themeColor="background1"/>
              </w:rPr>
            </w:pPr>
            <w:r w:rsidRPr="005B0B55">
              <w:rPr>
                <w:b/>
                <w:color w:val="FFFFFF" w:themeColor="background1"/>
              </w:rPr>
              <w:t>Evaluation écrite</w:t>
            </w:r>
          </w:p>
        </w:tc>
        <w:tc>
          <w:tcPr>
            <w:tcW w:w="2127" w:type="dxa"/>
            <w:gridSpan w:val="2"/>
            <w:shd w:val="clear" w:color="auto" w:fill="CC66FF"/>
          </w:tcPr>
          <w:p w:rsidR="005B0B55" w:rsidRPr="005B0B55" w:rsidRDefault="005B0B55" w:rsidP="00165A7F">
            <w:pPr>
              <w:jc w:val="center"/>
              <w:rPr>
                <w:b/>
                <w:color w:val="FFFFFF" w:themeColor="background1"/>
              </w:rPr>
            </w:pPr>
            <w:r w:rsidRPr="005B0B55">
              <w:rPr>
                <w:b/>
                <w:color w:val="FFFFFF" w:themeColor="background1"/>
              </w:rPr>
              <w:t>CCF</w:t>
            </w:r>
          </w:p>
        </w:tc>
      </w:tr>
      <w:tr w:rsidR="005B0B55" w:rsidTr="00086B27">
        <w:tc>
          <w:tcPr>
            <w:tcW w:w="7933" w:type="dxa"/>
            <w:vMerge w:val="restart"/>
            <w:shd w:val="clear" w:color="auto" w:fill="E2EFD9" w:themeFill="accent6" w:themeFillTint="33"/>
          </w:tcPr>
          <w:p w:rsidR="005B0B55" w:rsidRPr="00E96008" w:rsidRDefault="005B0B55">
            <w:pPr>
              <w:rPr>
                <w:b/>
              </w:rPr>
            </w:pPr>
            <w:r w:rsidRPr="00E96008">
              <w:rPr>
                <w:b/>
              </w:rPr>
              <w:t>POINTS CLES</w:t>
            </w:r>
          </w:p>
        </w:tc>
        <w:tc>
          <w:tcPr>
            <w:tcW w:w="2127" w:type="dxa"/>
            <w:gridSpan w:val="2"/>
            <w:shd w:val="clear" w:color="auto" w:fill="E2EFD9" w:themeFill="accent6" w:themeFillTint="33"/>
          </w:tcPr>
          <w:p w:rsidR="005B0B55" w:rsidRPr="00E96008" w:rsidRDefault="005B0B55" w:rsidP="00165A7F">
            <w:pPr>
              <w:jc w:val="center"/>
              <w:rPr>
                <w:b/>
              </w:rPr>
            </w:pPr>
            <w:r w:rsidRPr="00E96008">
              <w:rPr>
                <w:b/>
              </w:rPr>
              <w:t>Conforme</w:t>
            </w:r>
          </w:p>
        </w:tc>
      </w:tr>
      <w:tr w:rsidR="005B0B55" w:rsidTr="00086B27">
        <w:tc>
          <w:tcPr>
            <w:tcW w:w="7933" w:type="dxa"/>
            <w:vMerge/>
          </w:tcPr>
          <w:p w:rsidR="005B0B55" w:rsidRDefault="005B0B55"/>
        </w:tc>
        <w:tc>
          <w:tcPr>
            <w:tcW w:w="993" w:type="dxa"/>
            <w:shd w:val="clear" w:color="auto" w:fill="E2EFD9" w:themeFill="accent6" w:themeFillTint="33"/>
          </w:tcPr>
          <w:p w:rsidR="005B0B55" w:rsidRPr="00E96008" w:rsidRDefault="005B0B55" w:rsidP="00E96008">
            <w:pPr>
              <w:jc w:val="center"/>
              <w:rPr>
                <w:b/>
              </w:rPr>
            </w:pPr>
            <w:r w:rsidRPr="00E96008"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B0B55" w:rsidRPr="00E96008" w:rsidRDefault="005B0B55" w:rsidP="00E96008">
            <w:pPr>
              <w:jc w:val="center"/>
              <w:rPr>
                <w:b/>
              </w:rPr>
            </w:pPr>
            <w:r w:rsidRPr="00E96008">
              <w:rPr>
                <w:b/>
              </w:rPr>
              <w:t>NON</w:t>
            </w:r>
          </w:p>
        </w:tc>
      </w:tr>
      <w:tr w:rsidR="005B0B55" w:rsidTr="00086B27">
        <w:tc>
          <w:tcPr>
            <w:tcW w:w="10060" w:type="dxa"/>
            <w:gridSpan w:val="3"/>
            <w:shd w:val="clear" w:color="auto" w:fill="E2EFD9" w:themeFill="accent6" w:themeFillTint="33"/>
          </w:tcPr>
          <w:p w:rsidR="005B0B55" w:rsidRPr="005B0B55" w:rsidRDefault="005B0B55">
            <w:pPr>
              <w:rPr>
                <w:b/>
              </w:rPr>
            </w:pPr>
            <w:r w:rsidRPr="005B0B55">
              <w:rPr>
                <w:b/>
              </w:rPr>
              <w:t>Situations de la vie professionnelle</w:t>
            </w:r>
            <w:r w:rsidR="00E96008">
              <w:rPr>
                <w:b/>
              </w:rPr>
              <w:t xml:space="preserve"> ou quotidienne.</w:t>
            </w:r>
          </w:p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Les situations proposées prennent appui sur des problématiques de santé, d’environnement, de vie sociale.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Les situations sont réalistes et issues de la vie sociale, de la vie professionnelle ou d’un fait d’actualité.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La (les) situation(s) proposée(s) permet(</w:t>
            </w:r>
            <w:proofErr w:type="spellStart"/>
            <w:r>
              <w:t>tent</w:t>
            </w:r>
            <w:proofErr w:type="spellEnd"/>
            <w:r>
              <w:t>) d’appliquer la démarche d’analyse et/ou de résolution de problème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Les situations impliquent la mobilisation de connaissances.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Les situations traitent au moins 3 thématiques parmi les 4 (A, B, C, D) dont obligatoirement les thématiques A et C : • Thématiques A, B, C ou A, C, D ; Ou • Thématiques A, B, C, D.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Les thématiques A et C sont traitées obligatoirement à partir d’une documentation.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10060" w:type="dxa"/>
            <w:gridSpan w:val="3"/>
            <w:shd w:val="clear" w:color="auto" w:fill="E2EFD9" w:themeFill="accent6" w:themeFillTint="33"/>
          </w:tcPr>
          <w:p w:rsidR="005B0B55" w:rsidRDefault="005B0B55">
            <w:r>
              <w:t>Documents</w:t>
            </w:r>
          </w:p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Les documents sont originaux et récents, et non extraits d’ouvrages scolaires.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Les documents sont lisibles, relativement courts.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Les documents sont adaptés au niveau CAP.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5B0B55">
            <w:r>
              <w:t>es sources documentaires sont mentionnées et vérifiées.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5B0B55" w:rsidTr="00086B27">
        <w:tc>
          <w:tcPr>
            <w:tcW w:w="7933" w:type="dxa"/>
          </w:tcPr>
          <w:p w:rsidR="005B0B55" w:rsidRDefault="00086B27">
            <w:r>
              <w:t>Les documents sont variés.</w:t>
            </w:r>
          </w:p>
        </w:tc>
        <w:tc>
          <w:tcPr>
            <w:tcW w:w="993" w:type="dxa"/>
          </w:tcPr>
          <w:p w:rsidR="005B0B55" w:rsidRDefault="005B0B55"/>
        </w:tc>
        <w:tc>
          <w:tcPr>
            <w:tcW w:w="1134" w:type="dxa"/>
          </w:tcPr>
          <w:p w:rsidR="005B0B55" w:rsidRDefault="005B0B55"/>
        </w:tc>
      </w:tr>
      <w:tr w:rsidR="00086B27" w:rsidRPr="00E96008" w:rsidTr="00086B27">
        <w:tc>
          <w:tcPr>
            <w:tcW w:w="10060" w:type="dxa"/>
            <w:gridSpan w:val="3"/>
            <w:shd w:val="clear" w:color="auto" w:fill="E2EFD9" w:themeFill="accent6" w:themeFillTint="33"/>
          </w:tcPr>
          <w:p w:rsidR="00086B27" w:rsidRPr="00E96008" w:rsidRDefault="00086B27">
            <w:pPr>
              <w:rPr>
                <w:b/>
              </w:rPr>
            </w:pPr>
            <w:r w:rsidRPr="00E96008">
              <w:rPr>
                <w:b/>
              </w:rPr>
              <w:t>Présentation</w:t>
            </w:r>
          </w:p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>Le sujet est dactylographié.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>Le sujet est paginé.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>La présentation est claire, soignée et aérée (place suffisante pour les réponses).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>Les consignes commencent par un verbe d’action à l’infinitif.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>Les consignes sont numérotées selon la codification internationale (1 ; 1-1- ; 1-1-1-…).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>Les consignes sont variées.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>Le barème est apparent au regard de chaque thématique abordée.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 xml:space="preserve">Le barème respecte la répartition par thématique suivante : </w:t>
            </w:r>
          </w:p>
          <w:p w:rsidR="00086B27" w:rsidRDefault="00086B27" w:rsidP="00A71E17">
            <w:r>
              <w:t>• </w:t>
            </w:r>
            <w:r w:rsidRPr="004C3663">
              <w:rPr>
                <w:sz w:val="20"/>
                <w:szCs w:val="20"/>
              </w:rPr>
              <w:t>Thématique A : 5 à 7 pts ; • Thématique B et/ou D: 4 à 6 pts ; • Thématique C : 4 à 6 pts.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</w:tcPr>
          <w:p w:rsidR="00086B27" w:rsidRDefault="00086B27" w:rsidP="00A71E17">
            <w:r>
              <w:t>Le corrigé est rigoureux et détaillé.</w:t>
            </w:r>
          </w:p>
        </w:tc>
        <w:tc>
          <w:tcPr>
            <w:tcW w:w="993" w:type="dxa"/>
          </w:tcPr>
          <w:p w:rsidR="00086B27" w:rsidRDefault="00086B27" w:rsidP="00A71E17"/>
        </w:tc>
        <w:tc>
          <w:tcPr>
            <w:tcW w:w="1134" w:type="dxa"/>
          </w:tcPr>
          <w:p w:rsidR="00086B27" w:rsidRDefault="00086B27" w:rsidP="00A71E17"/>
        </w:tc>
      </w:tr>
      <w:tr w:rsidR="00086B27" w:rsidTr="00086B27">
        <w:tc>
          <w:tcPr>
            <w:tcW w:w="7933" w:type="dxa"/>
            <w:shd w:val="clear" w:color="auto" w:fill="E2EFD9" w:themeFill="accent6" w:themeFillTint="33"/>
          </w:tcPr>
          <w:p w:rsidR="00086B27" w:rsidRDefault="00086B27" w:rsidP="00A71E17">
            <w:r w:rsidRPr="00086B27">
              <w:rPr>
                <w:b/>
              </w:rPr>
              <w:t>Compétences obligatoirement évaluées</w:t>
            </w:r>
            <w:r>
              <w:t xml:space="preserve"> </w:t>
            </w:r>
          </w:p>
          <w:p w:rsidR="00086B27" w:rsidRDefault="00086B27" w:rsidP="00A71E17">
            <w:r>
              <w:t>Les situations permettent d’évaluer les compétences ci-dessous.</w:t>
            </w:r>
          </w:p>
        </w:tc>
        <w:tc>
          <w:tcPr>
            <w:tcW w:w="2127" w:type="dxa"/>
            <w:gridSpan w:val="2"/>
            <w:shd w:val="clear" w:color="auto" w:fill="E2EFD9" w:themeFill="accent6" w:themeFillTint="33"/>
          </w:tcPr>
          <w:p w:rsidR="00086B27" w:rsidRPr="00086B27" w:rsidRDefault="00086B27" w:rsidP="00086B27">
            <w:pPr>
              <w:jc w:val="center"/>
              <w:rPr>
                <w:b/>
              </w:rPr>
            </w:pPr>
            <w:r w:rsidRPr="00086B27">
              <w:rPr>
                <w:b/>
              </w:rPr>
              <w:t>Numéro des questions</w:t>
            </w:r>
          </w:p>
        </w:tc>
      </w:tr>
      <w:tr w:rsidR="00086B27" w:rsidTr="008B4E4A">
        <w:tc>
          <w:tcPr>
            <w:tcW w:w="7933" w:type="dxa"/>
          </w:tcPr>
          <w:p w:rsidR="00086B27" w:rsidRDefault="00086B27" w:rsidP="00A71E17">
            <w:r>
              <w:t> Appliquer une méthode d’analyse d’une situation de la vie professionnelle ou quotidienne et d’une documentation.</w:t>
            </w:r>
          </w:p>
        </w:tc>
        <w:tc>
          <w:tcPr>
            <w:tcW w:w="2127" w:type="dxa"/>
            <w:gridSpan w:val="2"/>
          </w:tcPr>
          <w:p w:rsidR="00086B27" w:rsidRDefault="00086B27" w:rsidP="00A71E17"/>
          <w:p w:rsidR="00086B27" w:rsidRDefault="00086B27" w:rsidP="00A71E17"/>
          <w:p w:rsidR="00086B27" w:rsidRDefault="00086B27" w:rsidP="00A71E17"/>
          <w:p w:rsidR="00086B27" w:rsidRDefault="00086B27" w:rsidP="00A71E17"/>
        </w:tc>
      </w:tr>
      <w:tr w:rsidR="00086B27" w:rsidTr="00951AF4">
        <w:tc>
          <w:tcPr>
            <w:tcW w:w="7933" w:type="dxa"/>
          </w:tcPr>
          <w:p w:rsidR="00086B27" w:rsidRDefault="00086B27" w:rsidP="00A71E17">
            <w:r>
              <w:t>Mettre en relation un phénomène physiologique, un enjeu environnemental, une disposition réglementaire, avec une mesure de prévention.</w:t>
            </w:r>
          </w:p>
        </w:tc>
        <w:tc>
          <w:tcPr>
            <w:tcW w:w="2127" w:type="dxa"/>
            <w:gridSpan w:val="2"/>
          </w:tcPr>
          <w:p w:rsidR="00086B27" w:rsidRDefault="00086B27" w:rsidP="00A71E17"/>
          <w:p w:rsidR="00086B27" w:rsidRDefault="00086B27" w:rsidP="00A71E17"/>
          <w:p w:rsidR="00086B27" w:rsidRDefault="00086B27" w:rsidP="00A71E17"/>
          <w:p w:rsidR="00086B27" w:rsidRDefault="00086B27" w:rsidP="00A71E17"/>
        </w:tc>
      </w:tr>
      <w:tr w:rsidR="00086B27" w:rsidTr="00F7276C">
        <w:tc>
          <w:tcPr>
            <w:tcW w:w="7933" w:type="dxa"/>
          </w:tcPr>
          <w:p w:rsidR="00086B27" w:rsidRDefault="00086B27" w:rsidP="00A71E17">
            <w:r>
              <w:t>Proposer une solution pour résoudre un problème lié à la santé, l’environnement ou la consommation. Argumenter un choix.</w:t>
            </w:r>
          </w:p>
        </w:tc>
        <w:tc>
          <w:tcPr>
            <w:tcW w:w="2127" w:type="dxa"/>
            <w:gridSpan w:val="2"/>
          </w:tcPr>
          <w:p w:rsidR="00086B27" w:rsidRDefault="00086B27" w:rsidP="00A71E17"/>
          <w:p w:rsidR="00086B27" w:rsidRDefault="00086B27" w:rsidP="00A71E17"/>
          <w:p w:rsidR="00086B27" w:rsidRDefault="00086B27" w:rsidP="00A71E17"/>
        </w:tc>
      </w:tr>
      <w:tr w:rsidR="00086B27" w:rsidTr="00010875">
        <w:tc>
          <w:tcPr>
            <w:tcW w:w="7933" w:type="dxa"/>
          </w:tcPr>
          <w:p w:rsidR="00086B27" w:rsidRDefault="00086B27" w:rsidP="00A71E17">
            <w:r>
              <w:t> Communiquer à l’écrit avec une syntaxe claire et un vocabulaire adapté.</w:t>
            </w:r>
          </w:p>
        </w:tc>
        <w:tc>
          <w:tcPr>
            <w:tcW w:w="2127" w:type="dxa"/>
            <w:gridSpan w:val="2"/>
          </w:tcPr>
          <w:p w:rsidR="00086B27" w:rsidRDefault="00086B27" w:rsidP="00A71E17"/>
          <w:p w:rsidR="00086B27" w:rsidRDefault="00086B27" w:rsidP="00A71E17"/>
          <w:p w:rsidR="00086B27" w:rsidRDefault="00086B27" w:rsidP="00A71E17"/>
          <w:p w:rsidR="00086B27" w:rsidRDefault="00086B27" w:rsidP="00A71E17"/>
        </w:tc>
      </w:tr>
    </w:tbl>
    <w:p w:rsidR="00345EB7" w:rsidRDefault="00E96008" w:rsidP="00086B27">
      <w:r>
        <w:t xml:space="preserve">D’après le document d’accompagnement pour la mise en œuvre </w:t>
      </w:r>
      <w:r w:rsidR="00345EB7">
        <w:t>du CCF en CAP, eduscol.education.fr</w:t>
      </w:r>
    </w:p>
    <w:sectPr w:rsidR="00345EB7" w:rsidSect="00787B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55"/>
    <w:rsid w:val="00086B27"/>
    <w:rsid w:val="00165A7F"/>
    <w:rsid w:val="00345EB7"/>
    <w:rsid w:val="004C3663"/>
    <w:rsid w:val="005B0B55"/>
    <w:rsid w:val="006E3612"/>
    <w:rsid w:val="00787BA7"/>
    <w:rsid w:val="00B66AEA"/>
    <w:rsid w:val="00E9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B578B-6720-4303-BABF-8FE98DAE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Farnet</dc:creator>
  <cp:keywords/>
  <dc:description/>
  <cp:lastModifiedBy>nathalie manzoni</cp:lastModifiedBy>
  <cp:revision>2</cp:revision>
  <dcterms:created xsi:type="dcterms:W3CDTF">2024-05-05T21:51:00Z</dcterms:created>
  <dcterms:modified xsi:type="dcterms:W3CDTF">2024-05-05T21:51:00Z</dcterms:modified>
</cp:coreProperties>
</file>