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4CC6" w:rsidRDefault="00E74CC6" w:rsidP="00E74CC6">
      <w:pPr>
        <w:jc w:val="center"/>
        <w:rPr>
          <w:rFonts w:ascii="Arial" w:hAnsi="Arial" w:cs="Arial"/>
          <w:b/>
          <w:u w:val="single"/>
        </w:rPr>
      </w:pPr>
    </w:p>
    <w:p w:rsidR="00320A71" w:rsidRPr="006E5B5B" w:rsidRDefault="00320A71" w:rsidP="00320A71">
      <w:pPr>
        <w:pStyle w:val="Titre"/>
        <w:rPr>
          <w:rFonts w:asciiTheme="minorHAnsi" w:hAnsiTheme="minorHAnsi"/>
          <w:sz w:val="24"/>
        </w:rPr>
      </w:pPr>
      <w:r w:rsidRPr="006E5B5B">
        <w:rPr>
          <w:rFonts w:asciiTheme="minorHAnsi" w:hAnsiTheme="minorHAnsi"/>
          <w:sz w:val="24"/>
        </w:rPr>
        <w:t>Enseignement de tronc commun</w:t>
      </w:r>
    </w:p>
    <w:p w:rsidR="006E5B5B" w:rsidRPr="006E5B5B" w:rsidRDefault="006E5B5B" w:rsidP="00320A71">
      <w:pPr>
        <w:pStyle w:val="Titre"/>
        <w:rPr>
          <w:rFonts w:asciiTheme="minorHAnsi" w:hAnsiTheme="minorHAnsi"/>
          <w:sz w:val="24"/>
        </w:rPr>
      </w:pPr>
    </w:p>
    <w:p w:rsidR="00320A71" w:rsidRPr="006E5B5B" w:rsidRDefault="00320A71" w:rsidP="00320A71">
      <w:pPr>
        <w:ind w:left="-567" w:right="-567"/>
        <w:jc w:val="center"/>
      </w:pPr>
      <w:r w:rsidRPr="006E5B5B">
        <w:t>Temps de préparation : 20 minutes, temps d’interrogation 20 minutes.</w:t>
      </w:r>
    </w:p>
    <w:p w:rsidR="00320A71" w:rsidRPr="006E5B5B" w:rsidRDefault="00320A71" w:rsidP="00320A71">
      <w:pPr>
        <w:ind w:left="-567" w:right="-567"/>
        <w:jc w:val="center"/>
      </w:pPr>
      <w:r w:rsidRPr="006E5B5B">
        <w:t>Une importance égale est attribuée à l’évaluation des connaissances et à celle des capacités mises en jeu.</w:t>
      </w:r>
    </w:p>
    <w:p w:rsidR="00320A71" w:rsidRPr="006E5B5B" w:rsidRDefault="00320A71" w:rsidP="00320A71">
      <w:pPr>
        <w:ind w:left="-567" w:right="-567"/>
        <w:jc w:val="center"/>
      </w:pPr>
    </w:p>
    <w:p w:rsidR="00320A71" w:rsidRPr="006E5B5B" w:rsidRDefault="00320A71" w:rsidP="00320A71">
      <w:pPr>
        <w:ind w:left="-567" w:right="-567"/>
        <w:jc w:val="center"/>
        <w:rPr>
          <w:b/>
        </w:rPr>
      </w:pPr>
      <w:r w:rsidRPr="006E5B5B">
        <w:rPr>
          <w:b/>
        </w:rPr>
        <w:t>QUESTION 1</w:t>
      </w:r>
    </w:p>
    <w:p w:rsidR="00E74CC6" w:rsidRPr="006E5B5B" w:rsidRDefault="00320A71" w:rsidP="00E74CC6">
      <w:pPr>
        <w:jc w:val="center"/>
        <w:rPr>
          <w:rFonts w:cs="Arial"/>
          <w:b/>
        </w:rPr>
      </w:pPr>
      <w:r w:rsidRPr="006E5B5B">
        <w:rPr>
          <w:rFonts w:cs="Arial"/>
          <w:b/>
        </w:rPr>
        <w:t>THEME 1-A-1 : Génétique, diversification et évolution du vivant</w:t>
      </w:r>
    </w:p>
    <w:p w:rsidR="00E74CC6" w:rsidRPr="006E5B5B" w:rsidRDefault="00E74CC6" w:rsidP="00E74CC6">
      <w:pPr>
        <w:jc w:val="center"/>
        <w:rPr>
          <w:rFonts w:cs="Arial"/>
          <w:b/>
          <w:u w:val="single"/>
        </w:rPr>
      </w:pPr>
    </w:p>
    <w:p w:rsidR="00320A71" w:rsidRPr="006E5B5B" w:rsidRDefault="00320A71" w:rsidP="00320A71">
      <w:pPr>
        <w:jc w:val="both"/>
        <w:rPr>
          <w:rFonts w:eastAsia="Times New Roman" w:cs="Times New Roman"/>
        </w:rPr>
      </w:pPr>
      <w:r w:rsidRPr="006E5B5B">
        <w:rPr>
          <w:rFonts w:eastAsia="Times New Roman" w:cs="Times New Roman"/>
        </w:rPr>
        <w:t xml:space="preserve">L'escargot des haies </w:t>
      </w:r>
      <w:r w:rsidRPr="006E5B5B">
        <w:rPr>
          <w:rStyle w:val="Accentuation"/>
          <w:rFonts w:eastAsia="Times New Roman" w:cs="Times New Roman"/>
        </w:rPr>
        <w:t>Cepaea nemoralis</w:t>
      </w:r>
      <w:r w:rsidRPr="006E5B5B">
        <w:rPr>
          <w:rFonts w:eastAsia="Times New Roman" w:cs="Times New Roman"/>
        </w:rPr>
        <w:t xml:space="preserve"> (</w:t>
      </w:r>
      <w:r w:rsidRPr="006E5B5B">
        <w:rPr>
          <w:rStyle w:val="Accentuation"/>
          <w:rFonts w:eastAsia="Times New Roman" w:cs="Times New Roman"/>
        </w:rPr>
        <w:t>Gastéropodes: Helicidae</w:t>
      </w:r>
      <w:r w:rsidRPr="006E5B5B">
        <w:rPr>
          <w:rFonts w:eastAsia="Times New Roman" w:cs="Times New Roman"/>
        </w:rPr>
        <w:t xml:space="preserve">) est une espèce hermaphrodite à fécondation croisée (autofécondation impossible) très commune en Europe. La couleur et l'ornementation de sa coquille montrent de fortes variations inter-individuelles, déterminées génétiquement, qui font intervenir plusieurs gènes autosomiques. </w:t>
      </w:r>
    </w:p>
    <w:p w:rsidR="00320A71" w:rsidRPr="006E5B5B" w:rsidRDefault="00320A71" w:rsidP="00320A71">
      <w:pPr>
        <w:jc w:val="both"/>
        <w:rPr>
          <w:rFonts w:eastAsia="Times New Roman" w:cs="Times New Roman"/>
        </w:rPr>
      </w:pPr>
    </w:p>
    <w:p w:rsidR="00320A71" w:rsidRPr="006E5B5B" w:rsidRDefault="00264C0F" w:rsidP="00320A71">
      <w:pPr>
        <w:jc w:val="both"/>
        <w:rPr>
          <w:b/>
        </w:rPr>
      </w:pPr>
      <w:r w:rsidRPr="006E5B5B">
        <w:rPr>
          <w:b/>
        </w:rPr>
        <w:t>A partir de l’exploitation des documents et de vos connaissances, identifiez le</w:t>
      </w:r>
      <w:r w:rsidR="008A712A">
        <w:rPr>
          <w:b/>
        </w:rPr>
        <w:t>(s)</w:t>
      </w:r>
      <w:r w:rsidRPr="006E5B5B">
        <w:rPr>
          <w:b/>
        </w:rPr>
        <w:t xml:space="preserve"> type</w:t>
      </w:r>
      <w:r w:rsidR="008A712A">
        <w:rPr>
          <w:b/>
        </w:rPr>
        <w:t>(s)</w:t>
      </w:r>
      <w:r w:rsidRPr="006E5B5B">
        <w:rPr>
          <w:b/>
        </w:rPr>
        <w:t xml:space="preserve"> de brassage</w:t>
      </w:r>
      <w:r w:rsidR="008A712A">
        <w:rPr>
          <w:b/>
        </w:rPr>
        <w:t>(s)</w:t>
      </w:r>
      <w:r w:rsidRPr="006E5B5B">
        <w:rPr>
          <w:b/>
        </w:rPr>
        <w:t xml:space="preserve"> génétique</w:t>
      </w:r>
      <w:r w:rsidR="008A712A">
        <w:rPr>
          <w:b/>
        </w:rPr>
        <w:t>(s)</w:t>
      </w:r>
      <w:r w:rsidR="006E5B5B" w:rsidRPr="006E5B5B">
        <w:rPr>
          <w:b/>
        </w:rPr>
        <w:t xml:space="preserve"> à l’origine des différents phénotypes possibles.</w:t>
      </w:r>
    </w:p>
    <w:p w:rsidR="00264C0F" w:rsidRPr="006E5B5B" w:rsidRDefault="00264C0F" w:rsidP="00320A71">
      <w:pPr>
        <w:jc w:val="both"/>
        <w:rPr>
          <w:b/>
        </w:rPr>
      </w:pPr>
    </w:p>
    <w:p w:rsidR="00264C0F" w:rsidRPr="006E5B5B" w:rsidRDefault="00264C0F" w:rsidP="00320A71">
      <w:pPr>
        <w:jc w:val="both"/>
        <w:rPr>
          <w:rFonts w:eastAsia="Times New Roman" w:cs="Times New Roman"/>
          <w:b/>
        </w:rPr>
      </w:pPr>
      <w:r w:rsidRPr="006E5B5B">
        <w:rPr>
          <w:b/>
        </w:rPr>
        <w:t>Document 1 : Les gènes intervenant dans  l’ornementation de la coquille</w:t>
      </w:r>
    </w:p>
    <w:p w:rsidR="006E5B5B" w:rsidRPr="006E5B5B" w:rsidRDefault="006E5B5B" w:rsidP="00320A71">
      <w:pPr>
        <w:jc w:val="both"/>
        <w:rPr>
          <w:rFonts w:eastAsia="Times New Roman" w:cs="Times New Roman"/>
        </w:rPr>
      </w:pPr>
    </w:p>
    <w:p w:rsidR="00320A71" w:rsidRPr="006E5B5B" w:rsidRDefault="00320A71" w:rsidP="00320A71">
      <w:pPr>
        <w:jc w:val="both"/>
        <w:rPr>
          <w:rFonts w:eastAsia="Times New Roman" w:cs="Times New Roman"/>
        </w:rPr>
      </w:pPr>
      <w:r w:rsidRPr="006E5B5B">
        <w:rPr>
          <w:rFonts w:eastAsia="Times New Roman" w:cs="Times New Roman"/>
        </w:rPr>
        <w:t xml:space="preserve">La couleur de la coquille est sous le contrôle d'un gène à plusieurs allèles, l'allèle </w:t>
      </w:r>
      <w:r w:rsidR="00530448">
        <w:rPr>
          <w:rFonts w:eastAsia="Times New Roman" w:cs="Times New Roman"/>
        </w:rPr>
        <w:t xml:space="preserve">R </w:t>
      </w:r>
      <w:r w:rsidRPr="006E5B5B">
        <w:rPr>
          <w:rFonts w:eastAsia="Times New Roman" w:cs="Times New Roman"/>
        </w:rPr>
        <w:t xml:space="preserve">responsable de la couleur rose </w:t>
      </w:r>
      <w:r w:rsidRPr="006E5B5B">
        <w:rPr>
          <w:rStyle w:val="allele"/>
          <w:rFonts w:eastAsia="Times New Roman" w:cs="Times New Roman"/>
        </w:rPr>
        <w:t>R</w:t>
      </w:r>
      <w:r w:rsidRPr="006E5B5B">
        <w:rPr>
          <w:rFonts w:eastAsia="Times New Roman" w:cs="Times New Roman"/>
        </w:rPr>
        <w:t xml:space="preserve"> </w:t>
      </w:r>
      <w:r w:rsidR="008A712A">
        <w:rPr>
          <w:rFonts w:eastAsia="Times New Roman" w:cs="Times New Roman"/>
        </w:rPr>
        <w:t>et l’allèle j</w:t>
      </w:r>
      <w:r w:rsidR="00530448">
        <w:rPr>
          <w:rFonts w:eastAsia="Times New Roman" w:cs="Times New Roman"/>
        </w:rPr>
        <w:t xml:space="preserve"> qui</w:t>
      </w:r>
      <w:r w:rsidRPr="006E5B5B">
        <w:rPr>
          <w:rFonts w:eastAsia="Times New Roman" w:cs="Times New Roman"/>
        </w:rPr>
        <w:t xml:space="preserve"> détermine la couleur jaune</w:t>
      </w:r>
      <w:r w:rsidR="00530448">
        <w:rPr>
          <w:rStyle w:val="allele"/>
        </w:rPr>
        <w:t>.</w:t>
      </w:r>
    </w:p>
    <w:p w:rsidR="00E74CC6" w:rsidRPr="006E5B5B" w:rsidRDefault="00320A71" w:rsidP="00320A71">
      <w:pPr>
        <w:jc w:val="both"/>
        <w:rPr>
          <w:rFonts w:cs="Arial"/>
        </w:rPr>
      </w:pPr>
      <w:r w:rsidRPr="006E5B5B">
        <w:rPr>
          <w:rFonts w:eastAsia="Times New Roman" w:cs="Times New Roman"/>
        </w:rPr>
        <w:t xml:space="preserve">Un autre détermine la présence ou l'absence de bande sur la coquille. L'allèle </w:t>
      </w:r>
      <w:r w:rsidR="00530448">
        <w:rPr>
          <w:rStyle w:val="allele"/>
          <w:rFonts w:eastAsia="Times New Roman" w:cs="Times New Roman"/>
        </w:rPr>
        <w:t>B</w:t>
      </w:r>
      <w:r w:rsidRPr="006E5B5B">
        <w:rPr>
          <w:rFonts w:eastAsia="Times New Roman" w:cs="Times New Roman"/>
        </w:rPr>
        <w:t xml:space="preserve"> permet l'expression de toutes les bandes alors que l'allèle </w:t>
      </w:r>
      <w:r w:rsidR="008A712A">
        <w:rPr>
          <w:rStyle w:val="allele"/>
          <w:rFonts w:eastAsia="Times New Roman" w:cs="Times New Roman"/>
        </w:rPr>
        <w:t>b</w:t>
      </w:r>
      <w:r w:rsidRPr="006E5B5B">
        <w:rPr>
          <w:rFonts w:eastAsia="Times New Roman" w:cs="Times New Roman"/>
        </w:rPr>
        <w:t xml:space="preserve"> est responsable de l'absence totale de bande sur la coquille</w:t>
      </w:r>
      <w:r w:rsidR="00530448">
        <w:rPr>
          <w:rFonts w:eastAsia="Times New Roman" w:cs="Times New Roman"/>
        </w:rPr>
        <w:t>.</w:t>
      </w:r>
    </w:p>
    <w:p w:rsidR="00E74CC6" w:rsidRPr="006E5B5B" w:rsidRDefault="00E74CC6" w:rsidP="00E74CC6">
      <w:pPr>
        <w:jc w:val="center"/>
        <w:rPr>
          <w:rFonts w:cs="Arial"/>
          <w:b/>
        </w:rPr>
      </w:pPr>
    </w:p>
    <w:p w:rsidR="00E74CC6" w:rsidRPr="006E5B5B" w:rsidRDefault="00264C0F" w:rsidP="00264C0F">
      <w:pPr>
        <w:jc w:val="both"/>
        <w:rPr>
          <w:rFonts w:cs="Arial"/>
          <w:b/>
        </w:rPr>
      </w:pPr>
      <w:r w:rsidRPr="006E5B5B">
        <w:rPr>
          <w:rFonts w:cs="Arial"/>
          <w:b/>
        </w:rPr>
        <w:t>Document 2 : Les croisements réalisés</w:t>
      </w:r>
    </w:p>
    <w:p w:rsidR="006E5B5B" w:rsidRPr="006E5B5B" w:rsidRDefault="006E5B5B" w:rsidP="00264C0F">
      <w:pPr>
        <w:jc w:val="both"/>
        <w:rPr>
          <w:rFonts w:cs="Arial"/>
          <w:b/>
        </w:rPr>
      </w:pPr>
    </w:p>
    <w:p w:rsidR="006E5B5B" w:rsidRPr="006E5B5B" w:rsidRDefault="006E5B5B" w:rsidP="00264C0F">
      <w:pPr>
        <w:jc w:val="both"/>
        <w:rPr>
          <w:rFonts w:cs="Arial"/>
        </w:rPr>
      </w:pPr>
      <w:r w:rsidRPr="006E5B5B">
        <w:rPr>
          <w:rFonts w:cs="Arial"/>
        </w:rPr>
        <w:t>Cr</w:t>
      </w:r>
      <w:r w:rsidR="008A712A">
        <w:rPr>
          <w:rFonts w:cs="Arial"/>
        </w:rPr>
        <w:t>oisement n°1 :  [RB] mâles + [jb</w:t>
      </w:r>
      <w:r w:rsidRPr="006E5B5B">
        <w:rPr>
          <w:rFonts w:cs="Arial"/>
        </w:rPr>
        <w:t>] femelle =  F1 100% [RB]</w:t>
      </w:r>
    </w:p>
    <w:p w:rsidR="006E5B5B" w:rsidRPr="006E5B5B" w:rsidRDefault="006E5B5B" w:rsidP="00264C0F">
      <w:pPr>
        <w:jc w:val="both"/>
        <w:rPr>
          <w:rFonts w:cs="Arial"/>
        </w:rPr>
      </w:pPr>
      <w:r w:rsidRPr="006E5B5B">
        <w:rPr>
          <w:rFonts w:cs="Arial"/>
        </w:rPr>
        <w:t>Croisement n°2 : F1 + parent [récessif]</w:t>
      </w:r>
    </w:p>
    <w:p w:rsidR="006E5B5B" w:rsidRPr="006E5B5B" w:rsidRDefault="006E5B5B" w:rsidP="00264C0F">
      <w:pPr>
        <w:jc w:val="both"/>
        <w:rPr>
          <w:rFonts w:cs="Arial"/>
        </w:rPr>
      </w:pPr>
    </w:p>
    <w:tbl>
      <w:tblPr>
        <w:tblStyle w:val="Grille"/>
        <w:tblW w:w="0" w:type="auto"/>
        <w:jc w:val="center"/>
        <w:tblLook w:val="04A0"/>
      </w:tblPr>
      <w:tblGrid>
        <w:gridCol w:w="2142"/>
        <w:gridCol w:w="2142"/>
        <w:gridCol w:w="2142"/>
        <w:gridCol w:w="2142"/>
        <w:gridCol w:w="2142"/>
      </w:tblGrid>
      <w:tr w:rsidR="006E5B5B" w:rsidRPr="006E5B5B">
        <w:trPr>
          <w:trHeight w:val="462"/>
          <w:jc w:val="center"/>
        </w:trPr>
        <w:tc>
          <w:tcPr>
            <w:tcW w:w="2142" w:type="dxa"/>
          </w:tcPr>
          <w:p w:rsidR="00264C0F" w:rsidRPr="006E5B5B" w:rsidRDefault="00264C0F" w:rsidP="006E5B5B">
            <w:pPr>
              <w:jc w:val="center"/>
              <w:rPr>
                <w:rFonts w:cs="Arial"/>
              </w:rPr>
            </w:pPr>
            <w:r w:rsidRPr="006E5B5B">
              <w:rPr>
                <w:rFonts w:cs="Arial"/>
              </w:rPr>
              <w:t>phénotypes</w:t>
            </w:r>
          </w:p>
        </w:tc>
        <w:tc>
          <w:tcPr>
            <w:tcW w:w="2142" w:type="dxa"/>
          </w:tcPr>
          <w:p w:rsidR="00264C0F" w:rsidRPr="006E5B5B" w:rsidRDefault="00264C0F" w:rsidP="00264C0F">
            <w:pPr>
              <w:spacing w:line="360" w:lineRule="auto"/>
              <w:rPr>
                <w:rFonts w:cs="Arial"/>
              </w:rPr>
            </w:pPr>
            <w:r w:rsidRPr="006E5B5B">
              <w:rPr>
                <w:rFonts w:cs="Arial"/>
              </w:rPr>
              <w:t>[RB]</w:t>
            </w:r>
          </w:p>
        </w:tc>
        <w:tc>
          <w:tcPr>
            <w:tcW w:w="2142" w:type="dxa"/>
          </w:tcPr>
          <w:p w:rsidR="00264C0F" w:rsidRPr="006E5B5B" w:rsidRDefault="008A712A" w:rsidP="00E74C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[Rb</w:t>
            </w:r>
            <w:r w:rsidR="00264C0F" w:rsidRPr="006E5B5B">
              <w:rPr>
                <w:rFonts w:cs="Arial"/>
              </w:rPr>
              <w:t>]</w:t>
            </w:r>
          </w:p>
        </w:tc>
        <w:tc>
          <w:tcPr>
            <w:tcW w:w="2142" w:type="dxa"/>
          </w:tcPr>
          <w:p w:rsidR="00264C0F" w:rsidRPr="006E5B5B" w:rsidRDefault="008A712A" w:rsidP="00E74C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[j</w:t>
            </w:r>
            <w:r w:rsidR="00264C0F" w:rsidRPr="006E5B5B">
              <w:rPr>
                <w:rFonts w:cs="Arial"/>
              </w:rPr>
              <w:t>B]</w:t>
            </w:r>
          </w:p>
        </w:tc>
        <w:tc>
          <w:tcPr>
            <w:tcW w:w="2142" w:type="dxa"/>
          </w:tcPr>
          <w:p w:rsidR="00264C0F" w:rsidRPr="006E5B5B" w:rsidRDefault="008A712A" w:rsidP="00E74CC6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[jb</w:t>
            </w:r>
            <w:r w:rsidR="00264C0F" w:rsidRPr="006E5B5B">
              <w:rPr>
                <w:rFonts w:cs="Arial"/>
              </w:rPr>
              <w:t>]</w:t>
            </w:r>
          </w:p>
        </w:tc>
      </w:tr>
      <w:tr w:rsidR="006E5B5B" w:rsidRPr="006E5B5B">
        <w:trPr>
          <w:trHeight w:val="301"/>
          <w:jc w:val="center"/>
        </w:trPr>
        <w:tc>
          <w:tcPr>
            <w:tcW w:w="2142" w:type="dxa"/>
          </w:tcPr>
          <w:p w:rsidR="00264C0F" w:rsidRPr="006E5B5B" w:rsidRDefault="00264C0F" w:rsidP="00E74CC6">
            <w:pPr>
              <w:jc w:val="center"/>
              <w:rPr>
                <w:rFonts w:cs="Arial"/>
              </w:rPr>
            </w:pPr>
            <w:r w:rsidRPr="006E5B5B">
              <w:rPr>
                <w:rFonts w:cs="Arial"/>
              </w:rPr>
              <w:t>Résultats en F2</w:t>
            </w:r>
          </w:p>
        </w:tc>
        <w:tc>
          <w:tcPr>
            <w:tcW w:w="2142" w:type="dxa"/>
          </w:tcPr>
          <w:p w:rsidR="00264C0F" w:rsidRPr="006E5B5B" w:rsidRDefault="00264C0F" w:rsidP="00E74CC6">
            <w:pPr>
              <w:jc w:val="center"/>
              <w:rPr>
                <w:rFonts w:cs="Arial"/>
              </w:rPr>
            </w:pPr>
            <w:r w:rsidRPr="006E5B5B">
              <w:rPr>
                <w:rFonts w:cs="Arial"/>
              </w:rPr>
              <w:t>234</w:t>
            </w:r>
          </w:p>
        </w:tc>
        <w:tc>
          <w:tcPr>
            <w:tcW w:w="2142" w:type="dxa"/>
          </w:tcPr>
          <w:p w:rsidR="00264C0F" w:rsidRPr="006E5B5B" w:rsidRDefault="00264C0F" w:rsidP="00E74CC6">
            <w:pPr>
              <w:jc w:val="center"/>
              <w:rPr>
                <w:rFonts w:cs="Arial"/>
              </w:rPr>
            </w:pPr>
            <w:r w:rsidRPr="006E5B5B">
              <w:rPr>
                <w:rFonts w:cs="Arial"/>
              </w:rPr>
              <w:t>54</w:t>
            </w:r>
          </w:p>
        </w:tc>
        <w:tc>
          <w:tcPr>
            <w:tcW w:w="2142" w:type="dxa"/>
          </w:tcPr>
          <w:p w:rsidR="00264C0F" w:rsidRPr="006E5B5B" w:rsidRDefault="00264C0F" w:rsidP="00E74CC6">
            <w:pPr>
              <w:jc w:val="center"/>
              <w:rPr>
                <w:rFonts w:cs="Arial"/>
              </w:rPr>
            </w:pPr>
            <w:r w:rsidRPr="006E5B5B">
              <w:rPr>
                <w:rFonts w:cs="Arial"/>
              </w:rPr>
              <w:t>66</w:t>
            </w:r>
          </w:p>
        </w:tc>
        <w:tc>
          <w:tcPr>
            <w:tcW w:w="2142" w:type="dxa"/>
          </w:tcPr>
          <w:p w:rsidR="00264C0F" w:rsidRPr="006E5B5B" w:rsidRDefault="00264C0F" w:rsidP="00E74CC6">
            <w:pPr>
              <w:jc w:val="center"/>
              <w:rPr>
                <w:rFonts w:cs="Arial"/>
              </w:rPr>
            </w:pPr>
            <w:r w:rsidRPr="006E5B5B">
              <w:rPr>
                <w:rFonts w:cs="Arial"/>
              </w:rPr>
              <w:t>246</w:t>
            </w:r>
          </w:p>
        </w:tc>
      </w:tr>
    </w:tbl>
    <w:p w:rsidR="00E74CC6" w:rsidRPr="006E5B5B" w:rsidRDefault="00E74CC6" w:rsidP="00E74CC6">
      <w:pPr>
        <w:jc w:val="center"/>
        <w:rPr>
          <w:rFonts w:cs="Arial"/>
        </w:rPr>
      </w:pP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Default="006E5B5B" w:rsidP="006E5B5B">
      <w:pPr>
        <w:ind w:left="-567" w:right="-567"/>
        <w:jc w:val="center"/>
        <w:rPr>
          <w:b/>
        </w:rPr>
      </w:pPr>
      <w:r w:rsidRPr="006E5B5B">
        <w:rPr>
          <w:b/>
        </w:rPr>
        <w:t xml:space="preserve">QUESTION 2 </w:t>
      </w:r>
    </w:p>
    <w:p w:rsidR="005B5FAB" w:rsidRPr="006E5B5B" w:rsidRDefault="005B5FAB" w:rsidP="006E5B5B">
      <w:pPr>
        <w:ind w:left="-567" w:right="-567"/>
        <w:jc w:val="center"/>
        <w:rPr>
          <w:b/>
        </w:rPr>
      </w:pPr>
    </w:p>
    <w:p w:rsidR="006E5B5B" w:rsidRPr="006E5B5B" w:rsidRDefault="006E5B5B" w:rsidP="006E5B5B">
      <w:pPr>
        <w:ind w:left="-567" w:right="-567"/>
        <w:jc w:val="center"/>
        <w:rPr>
          <w:b/>
        </w:rPr>
      </w:pPr>
      <w:r w:rsidRPr="006E5B5B">
        <w:rPr>
          <w:b/>
        </w:rPr>
        <w:t>THEME 1-B-3 : Le magmatisme en Zone de subduction : une production de nouveaux matériaux.</w:t>
      </w:r>
    </w:p>
    <w:p w:rsidR="006E5B5B" w:rsidRPr="006E5B5B" w:rsidRDefault="006E5B5B" w:rsidP="006E5B5B">
      <w:pPr>
        <w:ind w:left="-567" w:right="-567"/>
        <w:jc w:val="center"/>
        <w:rPr>
          <w:b/>
        </w:rPr>
      </w:pPr>
    </w:p>
    <w:p w:rsidR="00713BA0" w:rsidRDefault="00713BA0" w:rsidP="006E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"/>
        <w:jc w:val="both"/>
        <w:rPr>
          <w:b/>
        </w:rPr>
      </w:pPr>
      <w:r w:rsidRPr="00713BA0">
        <w:t>Dans une zone de subduction on peut observer deux types de matériaux continentaux de même composition chimique mais de structure différente.</w:t>
      </w:r>
      <w:r w:rsidR="00A553AC" w:rsidRPr="00713BA0">
        <w:t> </w:t>
      </w:r>
      <w:r w:rsidR="005B5FAB" w:rsidRPr="00713BA0">
        <w:t xml:space="preserve"> </w:t>
      </w:r>
      <w:r w:rsidRPr="00713BA0">
        <w:t>L</w:t>
      </w:r>
      <w:r w:rsidR="00A553AC" w:rsidRPr="00713BA0">
        <w:t xml:space="preserve">’un </w:t>
      </w:r>
      <w:r w:rsidRPr="00713BA0">
        <w:t xml:space="preserve">est </w:t>
      </w:r>
      <w:r w:rsidR="005B5FAB" w:rsidRPr="00713BA0">
        <w:t xml:space="preserve">de type plutonique (granitoïdes) et </w:t>
      </w:r>
      <w:r w:rsidR="00A553AC" w:rsidRPr="00713BA0">
        <w:t xml:space="preserve">l’autre </w:t>
      </w:r>
      <w:r w:rsidRPr="00713BA0">
        <w:t xml:space="preserve">est </w:t>
      </w:r>
      <w:r w:rsidR="005B5FAB" w:rsidRPr="00713BA0">
        <w:t>de ty</w:t>
      </w:r>
      <w:r>
        <w:t>pe volcanique (rhyolite ou andé</w:t>
      </w:r>
      <w:r w:rsidR="005B5FAB" w:rsidRPr="00713BA0">
        <w:t>site)</w:t>
      </w:r>
      <w:r w:rsidRPr="00713BA0">
        <w:t>.</w:t>
      </w:r>
      <w:r w:rsidR="00A553AC">
        <w:rPr>
          <w:b/>
        </w:rPr>
        <w:t xml:space="preserve"> </w:t>
      </w:r>
    </w:p>
    <w:p w:rsidR="006E5B5B" w:rsidRPr="006E5B5B" w:rsidRDefault="00713BA0" w:rsidP="006E5B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27"/>
        <w:jc w:val="both"/>
        <w:rPr>
          <w:b/>
        </w:rPr>
      </w:pPr>
      <w:r>
        <w:rPr>
          <w:b/>
        </w:rPr>
        <w:t>E</w:t>
      </w:r>
      <w:r w:rsidR="00A553AC">
        <w:rPr>
          <w:b/>
        </w:rPr>
        <w:t xml:space="preserve">xpliquer </w:t>
      </w:r>
      <w:r>
        <w:rPr>
          <w:b/>
        </w:rPr>
        <w:t>comment à partir d</w:t>
      </w:r>
      <w:r w:rsidR="00A553AC">
        <w:rPr>
          <w:b/>
        </w:rPr>
        <w:t xml:space="preserve">’un même magma mantellique </w:t>
      </w:r>
      <w:r>
        <w:rPr>
          <w:b/>
        </w:rPr>
        <w:t>on peut obtenir ces structures différentes.</w:t>
      </w: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Pr="00A553AC" w:rsidRDefault="00A553AC" w:rsidP="00E74CC6">
      <w:pPr>
        <w:jc w:val="center"/>
        <w:rPr>
          <w:rFonts w:cs="Arial"/>
          <w:b/>
          <w:i/>
        </w:rPr>
      </w:pPr>
      <w:r>
        <w:rPr>
          <w:rFonts w:cs="Arial"/>
          <w:b/>
          <w:i/>
        </w:rPr>
        <w:t>Remarque : vous avez comme  matériel à disposition un échantillon de chaque type de roche.</w:t>
      </w: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Pr="006E5B5B" w:rsidRDefault="006E5B5B" w:rsidP="00E74CC6">
      <w:pPr>
        <w:jc w:val="center"/>
        <w:rPr>
          <w:rFonts w:cs="Arial"/>
          <w:b/>
          <w:u w:val="single"/>
        </w:rPr>
      </w:pPr>
    </w:p>
    <w:p w:rsidR="006E5B5B" w:rsidRDefault="006E5B5B" w:rsidP="00E74CC6">
      <w:pPr>
        <w:jc w:val="center"/>
        <w:rPr>
          <w:rFonts w:ascii="Arial" w:hAnsi="Arial" w:cs="Arial"/>
          <w:b/>
          <w:u w:val="single"/>
        </w:rPr>
      </w:pPr>
    </w:p>
    <w:p w:rsidR="00E74CC6" w:rsidRPr="005D195C" w:rsidRDefault="00E74CC6" w:rsidP="00E74CC6">
      <w:pPr>
        <w:jc w:val="center"/>
        <w:rPr>
          <w:rFonts w:ascii="Arial" w:hAnsi="Arial" w:cs="Arial"/>
          <w:b/>
          <w:u w:val="single"/>
        </w:rPr>
      </w:pPr>
      <w:r w:rsidRPr="005D195C">
        <w:rPr>
          <w:rFonts w:ascii="Arial" w:hAnsi="Arial" w:cs="Arial"/>
          <w:b/>
          <w:u w:val="single"/>
        </w:rPr>
        <w:t>Eléments de réponse</w:t>
      </w:r>
    </w:p>
    <w:p w:rsidR="00E74CC6" w:rsidRPr="00647A00" w:rsidRDefault="00E74CC6" w:rsidP="00E74CC6">
      <w:pPr>
        <w:jc w:val="center"/>
        <w:rPr>
          <w:rFonts w:ascii="Arial" w:hAnsi="Arial" w:cs="Arial"/>
          <w:b/>
          <w:u w:val="single"/>
        </w:rPr>
      </w:pPr>
      <w:r w:rsidRPr="005D195C">
        <w:rPr>
          <w:rFonts w:ascii="Arial" w:hAnsi="Arial" w:cs="Arial"/>
          <w:b/>
          <w:u w:val="single"/>
        </w:rPr>
        <w:t>Question 1</w:t>
      </w:r>
    </w:p>
    <w:tbl>
      <w:tblPr>
        <w:tblStyle w:val="Grille"/>
        <w:tblW w:w="10789" w:type="dxa"/>
        <w:jc w:val="center"/>
        <w:tblLayout w:type="fixed"/>
        <w:tblLook w:val="04A0"/>
      </w:tblPr>
      <w:tblGrid>
        <w:gridCol w:w="1838"/>
        <w:gridCol w:w="8951"/>
      </w:tblGrid>
      <w:tr w:rsidR="00530448">
        <w:trPr>
          <w:trHeight w:val="879"/>
          <w:jc w:val="center"/>
        </w:trPr>
        <w:tc>
          <w:tcPr>
            <w:tcW w:w="1838" w:type="dxa"/>
            <w:vAlign w:val="center"/>
          </w:tcPr>
          <w:p w:rsidR="00E74CC6" w:rsidRDefault="00E74CC6" w:rsidP="00E74C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Données extraites du document</w:t>
            </w:r>
            <w:r w:rsidR="00530448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8951" w:type="dxa"/>
          </w:tcPr>
          <w:p w:rsidR="00530448" w:rsidRPr="006C1B3A" w:rsidRDefault="00530448" w:rsidP="0053044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gènes interviennent dans la mise en place du phénotype </w:t>
            </w:r>
          </w:p>
          <w:p w:rsidR="00E74CC6" w:rsidRPr="006C1B3A" w:rsidRDefault="00530448" w:rsidP="00E74CC6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gène 1 allèles R et j ; gène 2 allèles B et b</w:t>
            </w:r>
          </w:p>
        </w:tc>
      </w:tr>
      <w:tr w:rsidR="00530448">
        <w:trPr>
          <w:trHeight w:val="879"/>
          <w:jc w:val="center"/>
        </w:trPr>
        <w:tc>
          <w:tcPr>
            <w:tcW w:w="1838" w:type="dxa"/>
            <w:vAlign w:val="center"/>
          </w:tcPr>
          <w:p w:rsidR="00530448" w:rsidRDefault="00530448" w:rsidP="00E74C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Données du document 2</w:t>
            </w:r>
          </w:p>
        </w:tc>
        <w:tc>
          <w:tcPr>
            <w:tcW w:w="8951" w:type="dxa"/>
          </w:tcPr>
          <w:p w:rsidR="00530448" w:rsidRDefault="00530448" w:rsidP="0053044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croisement 1  les allèles R et B dominants</w:t>
            </w:r>
          </w:p>
          <w:p w:rsidR="00530448" w:rsidRDefault="00530448" w:rsidP="0053044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croisement 2 = croisement test et davantage de phénotypes parentaux que de recombinés.</w:t>
            </w:r>
          </w:p>
          <w:p w:rsidR="00530448" w:rsidRDefault="00530448" w:rsidP="00530448">
            <w:pPr>
              <w:pStyle w:val="Paragraphedeliste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Phénotypes de F2 = génotypes gamètes de F1</w:t>
            </w:r>
            <w:r w:rsidR="008A712A">
              <w:rPr>
                <w:rFonts w:ascii="Arial" w:hAnsi="Arial" w:cs="Arial"/>
              </w:rPr>
              <w:t xml:space="preserve"> ou tableau de croisement</w:t>
            </w:r>
          </w:p>
        </w:tc>
      </w:tr>
      <w:tr w:rsidR="00530448">
        <w:trPr>
          <w:trHeight w:val="2365"/>
          <w:jc w:val="center"/>
        </w:trPr>
        <w:tc>
          <w:tcPr>
            <w:tcW w:w="1838" w:type="dxa"/>
            <w:vAlign w:val="center"/>
          </w:tcPr>
          <w:p w:rsidR="00E74CC6" w:rsidRDefault="00E74CC6" w:rsidP="00E74C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Interprétations</w:t>
            </w:r>
          </w:p>
        </w:tc>
        <w:tc>
          <w:tcPr>
            <w:tcW w:w="8951" w:type="dxa"/>
          </w:tcPr>
          <w:p w:rsidR="008A712A" w:rsidRDefault="008A712A" w:rsidP="00E74CC6">
            <w:pPr>
              <w:rPr>
                <w:rFonts w:ascii="Arial" w:hAnsi="Arial" w:cs="Arial"/>
              </w:rPr>
            </w:pPr>
          </w:p>
          <w:p w:rsidR="00757DE8" w:rsidRDefault="00757DE8" w:rsidP="00E74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 brassage inter-chromosomique</w:t>
            </w:r>
            <w:r w:rsidR="008A712A">
              <w:rPr>
                <w:rFonts w:ascii="Arial" w:hAnsi="Arial" w:cs="Arial"/>
              </w:rPr>
              <w:t xml:space="preserve"> seul</w:t>
            </w:r>
            <w:r>
              <w:rPr>
                <w:rFonts w:ascii="Arial" w:hAnsi="Arial" w:cs="Arial"/>
              </w:rPr>
              <w:t> : équiprobabilité des phénotypes en F2. Ce qui n’est pas en accord avec les résultats.</w:t>
            </w:r>
          </w:p>
          <w:p w:rsidR="00E74CC6" w:rsidRDefault="00530448" w:rsidP="00E74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 différence de % </w:t>
            </w:r>
            <w:r w:rsidR="008A712A">
              <w:rPr>
                <w:rFonts w:ascii="Arial" w:hAnsi="Arial" w:cs="Arial"/>
              </w:rPr>
              <w:t xml:space="preserve">entre phénotype parentaux et recombinés </w:t>
            </w:r>
            <w:r>
              <w:rPr>
                <w:rFonts w:ascii="Arial" w:hAnsi="Arial" w:cs="Arial"/>
              </w:rPr>
              <w:t>en F2 indique un brassage intra-chromosomique = crossing-over en prophase 1 de la méiose</w:t>
            </w:r>
            <w:r w:rsidR="008A712A">
              <w:rPr>
                <w:rFonts w:ascii="Arial" w:hAnsi="Arial" w:cs="Arial"/>
              </w:rPr>
              <w:t>, en plus d’un brassage inter-chromosmique.</w:t>
            </w:r>
          </w:p>
          <w:p w:rsidR="008A712A" w:rsidRDefault="008A712A" w:rsidP="00E74C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Brassage intra-chromosomique rare, ce qui explique la différence de % en F2.</w:t>
            </w:r>
          </w:p>
        </w:tc>
      </w:tr>
    </w:tbl>
    <w:p w:rsidR="00E74CC6" w:rsidRDefault="00E74CC6" w:rsidP="00E74CC6">
      <w:pPr>
        <w:rPr>
          <w:rFonts w:ascii="Arial" w:hAnsi="Arial" w:cs="Arial"/>
        </w:rPr>
      </w:pPr>
    </w:p>
    <w:p w:rsidR="00E74CC6" w:rsidRPr="00647A00" w:rsidRDefault="00E74CC6" w:rsidP="00E74CC6">
      <w:pPr>
        <w:jc w:val="center"/>
        <w:rPr>
          <w:rFonts w:ascii="Arial" w:hAnsi="Arial" w:cs="Arial"/>
          <w:b/>
          <w:u w:val="single"/>
        </w:rPr>
      </w:pPr>
      <w:r w:rsidRPr="005D195C">
        <w:rPr>
          <w:rFonts w:ascii="Arial" w:hAnsi="Arial" w:cs="Arial"/>
          <w:b/>
          <w:u w:val="single"/>
        </w:rPr>
        <w:t>Question 2</w:t>
      </w:r>
    </w:p>
    <w:tbl>
      <w:tblPr>
        <w:tblStyle w:val="Grille"/>
        <w:tblW w:w="10852" w:type="dxa"/>
        <w:jc w:val="center"/>
        <w:tblLook w:val="04A0"/>
      </w:tblPr>
      <w:tblGrid>
        <w:gridCol w:w="1743"/>
        <w:gridCol w:w="9109"/>
      </w:tblGrid>
      <w:tr w:rsidR="00757DE8">
        <w:trPr>
          <w:trHeight w:val="1458"/>
          <w:jc w:val="center"/>
        </w:trPr>
        <w:tc>
          <w:tcPr>
            <w:tcW w:w="1743" w:type="dxa"/>
            <w:vAlign w:val="center"/>
          </w:tcPr>
          <w:p w:rsidR="00E74CC6" w:rsidRDefault="00E74CC6" w:rsidP="00E74CC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Notions attendues</w:t>
            </w:r>
          </w:p>
        </w:tc>
        <w:tc>
          <w:tcPr>
            <w:tcW w:w="9109" w:type="dxa"/>
            <w:vAlign w:val="center"/>
          </w:tcPr>
          <w:p w:rsidR="005B5FAB" w:rsidRDefault="005B5FAB" w:rsidP="00E74CC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 magma d’origine commune (fusion partielle des péridotites du manteau supérieur, plaque chevauchante)</w:t>
            </w:r>
          </w:p>
          <w:p w:rsidR="00E74CC6" w:rsidRDefault="005B5FAB" w:rsidP="00E74CC6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Une vitesse de refroidissement différente </w:t>
            </w:r>
            <w:r w:rsidR="00A553AC">
              <w:rPr>
                <w:rFonts w:ascii="Arial" w:hAnsi="Arial" w:cs="Arial"/>
                <w:color w:val="000000" w:themeColor="text1"/>
              </w:rPr>
              <w:t>mais chimie commune.</w:t>
            </w:r>
          </w:p>
          <w:p w:rsidR="005B5FAB" w:rsidRDefault="00A553AC" w:rsidP="005B5FAB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Cristallisation r</w:t>
            </w:r>
            <w:r w:rsidR="005B5FAB">
              <w:rPr>
                <w:rFonts w:ascii="Arial" w:hAnsi="Arial" w:cs="Arial"/>
                <w:color w:val="000000" w:themeColor="text1"/>
              </w:rPr>
              <w:t>apide</w:t>
            </w:r>
            <w:r>
              <w:rPr>
                <w:rFonts w:ascii="Arial" w:hAnsi="Arial" w:cs="Arial"/>
                <w:color w:val="000000" w:themeColor="text1"/>
              </w:rPr>
              <w:t>, voir pas de cristallisation,</w:t>
            </w:r>
            <w:r w:rsidR="005B5FAB">
              <w:rPr>
                <w:rFonts w:ascii="Arial" w:hAnsi="Arial" w:cs="Arial"/>
                <w:color w:val="000000" w:themeColor="text1"/>
              </w:rPr>
              <w:t xml:space="preserve"> en surface</w:t>
            </w:r>
            <w:r>
              <w:rPr>
                <w:rFonts w:ascii="Arial" w:hAnsi="Arial" w:cs="Arial"/>
                <w:color w:val="000000" w:themeColor="text1"/>
              </w:rPr>
              <w:t> : structure microlithique.</w:t>
            </w:r>
          </w:p>
          <w:p w:rsidR="005B5FAB" w:rsidRPr="005B5FAB" w:rsidRDefault="00A553AC" w:rsidP="005B5FAB">
            <w:pPr>
              <w:pStyle w:val="Paragraphedeliste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Cristallisation l</w:t>
            </w:r>
            <w:r w:rsidR="005B5FAB">
              <w:rPr>
                <w:rFonts w:ascii="Arial" w:hAnsi="Arial" w:cs="Arial"/>
                <w:color w:val="000000" w:themeColor="text1"/>
              </w:rPr>
              <w:t>ente en profondeur</w:t>
            </w:r>
            <w:r>
              <w:rPr>
                <w:rFonts w:ascii="Arial" w:hAnsi="Arial" w:cs="Arial"/>
                <w:color w:val="000000" w:themeColor="text1"/>
              </w:rPr>
              <w:t> : structure grenue.</w:t>
            </w:r>
          </w:p>
        </w:tc>
      </w:tr>
    </w:tbl>
    <w:p w:rsidR="00E74CC6" w:rsidRDefault="00E74CC6" w:rsidP="00E74CC6">
      <w:pPr>
        <w:rPr>
          <w:rFonts w:ascii="Arial" w:hAnsi="Arial" w:cs="Arial"/>
        </w:rPr>
      </w:pPr>
    </w:p>
    <w:p w:rsidR="00E74CC6" w:rsidRPr="005E63C1" w:rsidRDefault="00E74CC6" w:rsidP="00E74C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u w:val="single"/>
        </w:rPr>
      </w:pPr>
      <w:r w:rsidRPr="005E63C1">
        <w:rPr>
          <w:rFonts w:ascii="Arial" w:hAnsi="Arial" w:cs="Arial"/>
          <w:b/>
          <w:bCs/>
          <w:u w:val="single"/>
        </w:rPr>
        <w:t>Barème</w:t>
      </w:r>
    </w:p>
    <w:p w:rsidR="00E74CC6" w:rsidRPr="005E63C1" w:rsidRDefault="00E74CC6" w:rsidP="00E74CC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u w:val="thick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80"/>
        <w:gridCol w:w="1160"/>
      </w:tblGrid>
      <w:tr w:rsidR="00E74CC6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suffisantes dans les deux domaines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E74CC6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insuffisantes dans un des deux domaines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E74CC6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insuffisantes dans les deux domaines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74CC6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Connaissances scientifiques insuffisantes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E74CC6" w:rsidRPr="005E63C1">
        <w:trPr>
          <w:trHeight w:val="328"/>
          <w:jc w:val="center"/>
        </w:trPr>
        <w:tc>
          <w:tcPr>
            <w:tcW w:w="958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Absence de connaissances</w:t>
            </w:r>
          </w:p>
        </w:tc>
        <w:tc>
          <w:tcPr>
            <w:tcW w:w="1160" w:type="dxa"/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E74CC6" w:rsidRDefault="00E74CC6" w:rsidP="00E74CC6">
      <w:pPr>
        <w:jc w:val="center"/>
        <w:rPr>
          <w:rFonts w:ascii="Arial" w:hAnsi="Arial" w:cs="Arial"/>
        </w:rPr>
      </w:pPr>
    </w:p>
    <w:tbl>
      <w:tblPr>
        <w:tblW w:w="10820" w:type="dxa"/>
        <w:jc w:val="center"/>
        <w:tblBorders>
          <w:top w:val="nil"/>
          <w:left w:val="nil"/>
          <w:right w:val="nil"/>
        </w:tblBorders>
        <w:tblLayout w:type="fixed"/>
        <w:tblLook w:val="0000"/>
      </w:tblPr>
      <w:tblGrid>
        <w:gridCol w:w="3492"/>
        <w:gridCol w:w="6326"/>
        <w:gridCol w:w="1002"/>
      </w:tblGrid>
      <w:tr w:rsidR="00757DE8" w:rsidRPr="00700A13">
        <w:trPr>
          <w:trHeight w:val="412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700A13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0A13">
              <w:rPr>
                <w:rFonts w:ascii="Arial" w:hAnsi="Arial" w:cs="Arial"/>
                <w:b/>
                <w:bCs/>
              </w:rPr>
              <w:t>Capacités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700A13" w:rsidRDefault="00E74CC6" w:rsidP="00E74CC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700A13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700A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2700" cy="12700"/>
                  <wp:effectExtent l="0" t="0" r="0" b="0"/>
                  <wp:docPr id="11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00A13">
              <w:rPr>
                <w:rFonts w:ascii="Arial" w:hAnsi="Arial" w:cs="Arial"/>
                <w:noProof/>
              </w:rPr>
              <w:drawing>
                <wp:inline distT="0" distB="0" distL="0" distR="0">
                  <wp:extent cx="12700" cy="12700"/>
                  <wp:effectExtent l="0" t="0" r="0" b="0"/>
                  <wp:docPr id="14" name="Imag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7DE8" w:rsidRPr="00700A13">
        <w:tblPrEx>
          <w:tblBorders>
            <w:top w:val="none" w:sz="0" w:space="0" w:color="auto"/>
          </w:tblBorders>
        </w:tblPrEx>
        <w:trPr>
          <w:trHeight w:val="1112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Rechercher et extraire des informations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Les informations utiles sont extraites des documents.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Informations utiles incomplètement extraites des documents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Informations non extraites des documents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757DE8" w:rsidRPr="00700A13">
        <w:tblPrEx>
          <w:tblBorders>
            <w:top w:val="none" w:sz="0" w:space="0" w:color="auto"/>
          </w:tblBorders>
        </w:tblPrEx>
        <w:trPr>
          <w:trHeight w:val="1112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Raisonner, argumenter en rapport avec la question posée</w:t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 xml:space="preserve">Raisonnement structuré et argumenté 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 xml:space="preserve">Raisonnement peu structuré et argumenté 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Raisonnement ni structuré ni argumenté et /ou erreurs de raisonnement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4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757DE8" w:rsidRPr="00700A13">
        <w:trPr>
          <w:trHeight w:val="1112"/>
          <w:jc w:val="center"/>
        </w:trPr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Communiquer dans un langage  clair et scientifiquement adapté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noProof/>
                <w:sz w:val="22"/>
                <w:szCs w:val="22"/>
              </w:rPr>
              <w:drawing>
                <wp:inline distT="0" distB="0" distL="0" distR="0">
                  <wp:extent cx="12700" cy="12700"/>
                  <wp:effectExtent l="0" t="0" r="0" b="0"/>
                  <wp:docPr id="15" name="Imag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pic="http://schemas.openxmlformats.org/drawingml/2006/picture" xmlns:a="http://schemas.openxmlformats.org/drawingml/2006/main" xmlns:wne="http://schemas.microsoft.com/office/word/2006/wordml" xmlns:wp="http://schemas.openxmlformats.org/drawingml/2006/wordprocessingDrawing" xmlns:m="http://schemas.openxmlformats.org/officeDocument/2006/math" xmlns:r="http://schemas.openxmlformats.org/officeDocument/2006/relationships" xmlns:ve="http://schemas.openxmlformats.org/markup-compatibility/2006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" cy="1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Communication claire, vocabulaire rigoureux Communication déficiente sur un de ces points Communication déficiente sur 2 de ces points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3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2</w:t>
            </w:r>
          </w:p>
          <w:p w:rsidR="00E74CC6" w:rsidRPr="003F48AD" w:rsidRDefault="00E74CC6" w:rsidP="00E74C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48AD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</w:tbl>
    <w:p w:rsidR="00E74CC6" w:rsidRPr="005E63C1" w:rsidRDefault="00E74CC6" w:rsidP="00E74CC6">
      <w:pPr>
        <w:rPr>
          <w:rFonts w:ascii="Arial" w:hAnsi="Arial" w:cs="Arial"/>
        </w:rPr>
      </w:pPr>
    </w:p>
    <w:p w:rsidR="001F2CBE" w:rsidRDefault="001F2CBE"/>
    <w:sectPr w:rsidR="001F2CBE" w:rsidSect="00320A71">
      <w:pgSz w:w="12240" w:h="15840"/>
      <w:pgMar w:top="720" w:right="720" w:bottom="720" w:left="72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AC73C9"/>
    <w:multiLevelType w:val="hybridMultilevel"/>
    <w:tmpl w:val="49E06A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42FA8"/>
    <w:multiLevelType w:val="hybridMultilevel"/>
    <w:tmpl w:val="007E325C"/>
    <w:lvl w:ilvl="0" w:tplc="6834EC0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characterSpacingControl w:val="doNotCompress"/>
  <w:savePreviewPicture/>
  <w:compat>
    <w:useFELayout/>
  </w:compat>
  <w:rsids>
    <w:rsidRoot w:val="00E74CC6"/>
    <w:rsid w:val="001F2CBE"/>
    <w:rsid w:val="00264C0F"/>
    <w:rsid w:val="00320A71"/>
    <w:rsid w:val="003A4DDE"/>
    <w:rsid w:val="005115AD"/>
    <w:rsid w:val="00530448"/>
    <w:rsid w:val="005B5FAB"/>
    <w:rsid w:val="006E5B5B"/>
    <w:rsid w:val="00713BA0"/>
    <w:rsid w:val="00757DE8"/>
    <w:rsid w:val="00845C35"/>
    <w:rsid w:val="008A712A"/>
    <w:rsid w:val="00A553AC"/>
    <w:rsid w:val="00B45740"/>
    <w:rsid w:val="00E74CC6"/>
  </w:rsids>
  <m:mathPr>
    <m:mathFont m:val="Impac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C6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E74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74C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4CC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CC6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link w:val="TitreCar"/>
    <w:qFormat/>
    <w:rsid w:val="00320A71"/>
    <w:pPr>
      <w:jc w:val="center"/>
    </w:pPr>
    <w:rPr>
      <w:rFonts w:ascii="Comic Sans MS" w:eastAsia="Times New Roman" w:hAnsi="Comic Sans MS" w:cs="Times New Roman"/>
      <w:b/>
      <w:bCs/>
      <w:sz w:val="20"/>
    </w:rPr>
  </w:style>
  <w:style w:type="character" w:customStyle="1" w:styleId="TitreCar">
    <w:name w:val="Titre Car"/>
    <w:basedOn w:val="Policepardfaut"/>
    <w:link w:val="Titre"/>
    <w:rsid w:val="00320A71"/>
    <w:rPr>
      <w:rFonts w:ascii="Comic Sans MS" w:eastAsia="Times New Roman" w:hAnsi="Comic Sans MS" w:cs="Times New Roman"/>
      <w:b/>
      <w:bCs/>
      <w:sz w:val="20"/>
    </w:rPr>
  </w:style>
  <w:style w:type="character" w:styleId="Accentuation">
    <w:name w:val="Emphasis"/>
    <w:basedOn w:val="Policepardfaut"/>
    <w:uiPriority w:val="20"/>
    <w:qFormat/>
    <w:rsid w:val="00320A71"/>
    <w:rPr>
      <w:i/>
      <w:iCs/>
    </w:rPr>
  </w:style>
  <w:style w:type="character" w:customStyle="1" w:styleId="allele">
    <w:name w:val="allele"/>
    <w:basedOn w:val="Policepardfaut"/>
    <w:rsid w:val="00320A7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C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E74C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74CC6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74CC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74CC6"/>
    <w:rPr>
      <w:rFonts w:ascii="Lucida Grande" w:hAnsi="Lucida Grande" w:cs="Lucida Grande"/>
      <w:sz w:val="18"/>
      <w:szCs w:val="18"/>
    </w:rPr>
  </w:style>
  <w:style w:type="paragraph" w:styleId="Titre">
    <w:name w:val="Title"/>
    <w:basedOn w:val="Normal"/>
    <w:link w:val="TitreCar"/>
    <w:qFormat/>
    <w:rsid w:val="00320A71"/>
    <w:pPr>
      <w:jc w:val="center"/>
    </w:pPr>
    <w:rPr>
      <w:rFonts w:ascii="Comic Sans MS" w:eastAsia="Times New Roman" w:hAnsi="Comic Sans MS" w:cs="Times New Roman"/>
      <w:b/>
      <w:bCs/>
      <w:sz w:val="20"/>
    </w:rPr>
  </w:style>
  <w:style w:type="character" w:customStyle="1" w:styleId="TitreCar">
    <w:name w:val="Titre Car"/>
    <w:basedOn w:val="Policepardfaut"/>
    <w:link w:val="Titre"/>
    <w:rsid w:val="00320A71"/>
    <w:rPr>
      <w:rFonts w:ascii="Comic Sans MS" w:eastAsia="Times New Roman" w:hAnsi="Comic Sans MS" w:cs="Times New Roman"/>
      <w:b/>
      <w:bCs/>
      <w:sz w:val="20"/>
    </w:rPr>
  </w:style>
  <w:style w:type="character" w:styleId="Accentuation">
    <w:name w:val="Emphasis"/>
    <w:basedOn w:val="Policepardfaut"/>
    <w:uiPriority w:val="20"/>
    <w:qFormat/>
    <w:rsid w:val="00320A71"/>
    <w:rPr>
      <w:i/>
      <w:iCs/>
    </w:rPr>
  </w:style>
  <w:style w:type="character" w:customStyle="1" w:styleId="allele">
    <w:name w:val="allele"/>
    <w:basedOn w:val="Policepardfaut"/>
    <w:rsid w:val="00320A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587</Words>
  <Characters>3348</Characters>
  <Application>Microsoft Macintosh Word</Application>
  <DocSecurity>0</DocSecurity>
  <Lines>27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chartier</dc:creator>
  <cp:keywords/>
  <dc:description/>
  <cp:lastModifiedBy>Frederic Uyttenhove</cp:lastModifiedBy>
  <cp:revision>2</cp:revision>
  <dcterms:created xsi:type="dcterms:W3CDTF">2016-09-08T03:54:00Z</dcterms:created>
  <dcterms:modified xsi:type="dcterms:W3CDTF">2016-09-08T03:54:00Z</dcterms:modified>
</cp:coreProperties>
</file>