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99" w:rsidRPr="00543599" w:rsidRDefault="00543599" w:rsidP="00543599">
      <w:pPr>
        <w:pStyle w:val="Corpsdetexte"/>
        <w:jc w:val="both"/>
        <w:rPr>
          <w:rFonts w:asciiTheme="majorHAnsi" w:hAnsiTheme="majorHAnsi" w:cstheme="majorHAnsi"/>
          <w:color w:val="0000FF"/>
          <w:sz w:val="32"/>
          <w:szCs w:val="32"/>
        </w:rPr>
      </w:pPr>
      <w:r w:rsidRPr="00543599">
        <w:rPr>
          <w:rFonts w:asciiTheme="majorHAnsi" w:hAnsiTheme="majorHAnsi" w:cstheme="majorHAnsi"/>
          <w:color w:val="0000FF"/>
          <w:sz w:val="32"/>
          <w:szCs w:val="32"/>
        </w:rPr>
        <w:t xml:space="preserve">La Nouvelle-Calédonie est une colonie d’abord : </w:t>
      </w:r>
    </w:p>
    <w:p w:rsidR="00543599" w:rsidRPr="00543599" w:rsidRDefault="00543599" w:rsidP="00543599">
      <w:pPr>
        <w:pStyle w:val="Corpsdetexte"/>
        <w:numPr>
          <w:ilvl w:val="0"/>
          <w:numId w:val="1"/>
        </w:numPr>
        <w:jc w:val="both"/>
        <w:rPr>
          <w:rFonts w:asciiTheme="majorHAnsi" w:hAnsiTheme="majorHAnsi" w:cstheme="majorHAnsi"/>
          <w:color w:val="0000FF"/>
          <w:sz w:val="32"/>
          <w:szCs w:val="32"/>
        </w:rPr>
      </w:pPr>
      <w:r w:rsidRPr="00543599">
        <w:rPr>
          <w:rFonts w:asciiTheme="majorHAnsi" w:hAnsiTheme="majorHAnsi" w:cstheme="majorHAnsi"/>
          <w:color w:val="0000FF"/>
          <w:sz w:val="32"/>
          <w:szCs w:val="32"/>
        </w:rPr>
        <w:t>par ses institutions et son système électoral</w:t>
      </w:r>
      <w:bookmarkStart w:id="0" w:name="_GoBack"/>
      <w:bookmarkEnd w:id="0"/>
    </w:p>
    <w:p w:rsidR="00543599" w:rsidRPr="00543599" w:rsidRDefault="00543599" w:rsidP="00543599">
      <w:pPr>
        <w:pStyle w:val="Corpsdetexte"/>
        <w:numPr>
          <w:ilvl w:val="0"/>
          <w:numId w:val="1"/>
        </w:numPr>
        <w:jc w:val="both"/>
        <w:rPr>
          <w:rFonts w:asciiTheme="majorHAnsi" w:hAnsiTheme="majorHAnsi" w:cstheme="majorHAnsi"/>
          <w:color w:val="0000FF"/>
          <w:sz w:val="32"/>
          <w:szCs w:val="32"/>
        </w:rPr>
      </w:pPr>
      <w:r w:rsidRPr="00543599">
        <w:rPr>
          <w:rFonts w:asciiTheme="majorHAnsi" w:hAnsiTheme="majorHAnsi" w:cstheme="majorHAnsi"/>
          <w:color w:val="0000FF"/>
          <w:sz w:val="32"/>
          <w:szCs w:val="32"/>
        </w:rPr>
        <w:t>par l’organisation de la société</w:t>
      </w:r>
    </w:p>
    <w:p w:rsidR="00543599" w:rsidRPr="00543599" w:rsidRDefault="00543599" w:rsidP="00543599">
      <w:pPr>
        <w:pStyle w:val="Corpsdetexte"/>
        <w:jc w:val="both"/>
        <w:rPr>
          <w:rFonts w:asciiTheme="majorHAnsi" w:hAnsiTheme="majorHAnsi" w:cstheme="majorHAnsi"/>
          <w:color w:val="0000FF"/>
          <w:sz w:val="32"/>
          <w:szCs w:val="32"/>
        </w:rPr>
      </w:pPr>
    </w:p>
    <w:p w:rsidR="00543599" w:rsidRPr="00543599" w:rsidRDefault="00543599" w:rsidP="00543599">
      <w:pPr>
        <w:pStyle w:val="Corpsdetexte"/>
        <w:jc w:val="both"/>
        <w:rPr>
          <w:rFonts w:asciiTheme="majorHAnsi" w:hAnsiTheme="majorHAnsi" w:cstheme="majorHAnsi"/>
          <w:color w:val="0000FF"/>
          <w:sz w:val="32"/>
          <w:szCs w:val="32"/>
        </w:rPr>
      </w:pPr>
      <w:r w:rsidRPr="00543599">
        <w:rPr>
          <w:rFonts w:asciiTheme="majorHAnsi" w:hAnsiTheme="majorHAnsi" w:cstheme="majorHAnsi"/>
          <w:color w:val="0000FF"/>
          <w:sz w:val="32"/>
          <w:szCs w:val="32"/>
        </w:rPr>
        <w:t>Après la prise de possession en 1853, la Nouvelle-Calédonie a d’abord été administrée par le gouverneur des établissements français d’Océanie en poste à Papeete. Elle est devenue une colonie autonome en 1860 avec un gouverneur nommé à Nouméa.</w:t>
      </w:r>
    </w:p>
    <w:p w:rsidR="00543599" w:rsidRPr="00543599" w:rsidRDefault="00543599" w:rsidP="00543599">
      <w:pPr>
        <w:pStyle w:val="Corpsdetexte"/>
        <w:jc w:val="both"/>
        <w:rPr>
          <w:rFonts w:asciiTheme="majorHAnsi" w:hAnsiTheme="majorHAnsi" w:cstheme="majorHAnsi"/>
          <w:color w:val="0000FF"/>
          <w:sz w:val="32"/>
          <w:szCs w:val="32"/>
        </w:rPr>
      </w:pPr>
      <w:r w:rsidRPr="00543599">
        <w:rPr>
          <w:rFonts w:asciiTheme="majorHAnsi" w:hAnsiTheme="majorHAnsi" w:cstheme="majorHAnsi"/>
          <w:color w:val="0000FF"/>
          <w:sz w:val="32"/>
          <w:szCs w:val="32"/>
        </w:rPr>
        <w:t xml:space="preserve">Le </w:t>
      </w:r>
      <w:r w:rsidRPr="00543599">
        <w:rPr>
          <w:rFonts w:asciiTheme="majorHAnsi" w:hAnsiTheme="majorHAnsi" w:cstheme="majorHAnsi"/>
          <w:b/>
          <w:bCs/>
          <w:color w:val="0000FF"/>
          <w:sz w:val="32"/>
          <w:szCs w:val="32"/>
        </w:rPr>
        <w:t>gouverneur</w:t>
      </w:r>
      <w:r w:rsidRPr="00543599">
        <w:rPr>
          <w:rFonts w:asciiTheme="majorHAnsi" w:hAnsiTheme="majorHAnsi" w:cstheme="majorHAnsi"/>
          <w:color w:val="0000FF"/>
          <w:sz w:val="32"/>
          <w:szCs w:val="32"/>
        </w:rPr>
        <w:t xml:space="preserve"> était le pivot de l’administration coloniale, mais depuis le décret de 1885, il existait aussi à Nouméa une représentation de la population locale, </w:t>
      </w:r>
      <w:r w:rsidRPr="00543599">
        <w:rPr>
          <w:rFonts w:asciiTheme="majorHAnsi" w:hAnsiTheme="majorHAnsi" w:cstheme="majorHAnsi"/>
          <w:b/>
          <w:bCs/>
          <w:color w:val="0000FF"/>
          <w:sz w:val="32"/>
          <w:szCs w:val="32"/>
        </w:rPr>
        <w:t>le conseil général</w:t>
      </w:r>
      <w:r w:rsidRPr="00543599">
        <w:rPr>
          <w:rFonts w:asciiTheme="majorHAnsi" w:hAnsiTheme="majorHAnsi" w:cstheme="majorHAnsi"/>
          <w:color w:val="0000FF"/>
          <w:sz w:val="32"/>
          <w:szCs w:val="32"/>
        </w:rPr>
        <w:t>. Mais la Nouvelle-Calédonie n’était pas représentée au parlement et l’organisation communale était inexistante.</w:t>
      </w:r>
    </w:p>
    <w:p w:rsidR="000662A8" w:rsidRDefault="00543599"/>
    <w:sectPr w:rsidR="000662A8" w:rsidSect="00543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01825"/>
    <w:multiLevelType w:val="singleLevel"/>
    <w:tmpl w:val="F99808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99"/>
    <w:rsid w:val="00543599"/>
    <w:rsid w:val="0062287E"/>
    <w:rsid w:val="00E1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81B20-5BD5-4915-909F-44F78873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4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435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E3EB5CCC</Template>
  <TotalTime>8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2017-07-30T22:04:00Z</dcterms:created>
  <dcterms:modified xsi:type="dcterms:W3CDTF">2017-07-30T22:12:00Z</dcterms:modified>
</cp:coreProperties>
</file>